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E12BF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</w:t>
      </w:r>
      <w:r w:rsidR="005C7FE3">
        <w:rPr>
          <w:rFonts w:hint="cs"/>
          <w:rtl/>
        </w:rPr>
        <w:t xml:space="preserve">עיצום כספי </w:t>
      </w:r>
      <w:r w:rsidR="00E12BF3">
        <w:rPr>
          <w:rFonts w:hint="cs"/>
          <w:rtl/>
        </w:rPr>
        <w:t>המוטל לפי חוק הגברת האכיפה של דיני העבודה, התשע"ב-2011</w:t>
      </w:r>
      <w:r w:rsidR="00937C87">
        <w:rPr>
          <w:rFonts w:hint="cs"/>
          <w:rtl/>
        </w:rPr>
        <w:t xml:space="preserve">), </w:t>
      </w:r>
      <w:r w:rsidR="00E12BF3">
        <w:rPr>
          <w:rtl/>
        </w:rPr>
        <w:br/>
      </w:r>
      <w:r w:rsidR="00937C87">
        <w:rPr>
          <w:rFonts w:hint="cs"/>
          <w:rtl/>
        </w:rPr>
        <w:t>תשע"ו-2016</w:t>
      </w:r>
    </w:p>
    <w:p w:rsidR="00E12BF3" w:rsidRPr="00E12BF3" w:rsidRDefault="00E12BF3" w:rsidP="00E12BF3">
      <w:pPr>
        <w:spacing w:line="320" w:lineRule="auto"/>
        <w:jc w:val="left"/>
        <w:rPr>
          <w:rFonts w:cs="FrankRuehl"/>
          <w:szCs w:val="26"/>
          <w:rtl/>
        </w:rPr>
      </w:pPr>
    </w:p>
    <w:p w:rsidR="00E12BF3" w:rsidRDefault="00E12BF3" w:rsidP="00E12BF3">
      <w:pPr>
        <w:spacing w:line="320" w:lineRule="auto"/>
        <w:jc w:val="left"/>
        <w:rPr>
          <w:rtl/>
        </w:rPr>
      </w:pPr>
    </w:p>
    <w:p w:rsidR="00E12BF3" w:rsidRDefault="00E12BF3" w:rsidP="00E12BF3">
      <w:pPr>
        <w:spacing w:line="320" w:lineRule="auto"/>
        <w:jc w:val="left"/>
        <w:rPr>
          <w:rFonts w:cs="Miriam"/>
          <w:szCs w:val="22"/>
          <w:rtl/>
        </w:rPr>
      </w:pPr>
      <w:r w:rsidRPr="00E12BF3">
        <w:rPr>
          <w:rFonts w:cs="Miriam"/>
          <w:szCs w:val="22"/>
          <w:rtl/>
        </w:rPr>
        <w:t>בתי משפט וסדרי דין</w:t>
      </w:r>
      <w:r w:rsidRPr="00E12BF3">
        <w:rPr>
          <w:rFonts w:cs="FrankRuehl"/>
          <w:szCs w:val="26"/>
          <w:rtl/>
        </w:rPr>
        <w:t xml:space="preserve"> – המרכז לגביית קנסות – תחילת החוק</w:t>
      </w:r>
    </w:p>
    <w:p w:rsidR="00E12BF3" w:rsidRPr="00E12BF3" w:rsidRDefault="00E12BF3" w:rsidP="00E12BF3">
      <w:pPr>
        <w:spacing w:line="320" w:lineRule="auto"/>
        <w:jc w:val="left"/>
        <w:rPr>
          <w:rFonts w:cs="Miriam" w:hint="cs"/>
          <w:szCs w:val="22"/>
          <w:rtl/>
        </w:rPr>
      </w:pPr>
      <w:r w:rsidRPr="00E12BF3">
        <w:rPr>
          <w:rFonts w:cs="Miriam"/>
          <w:szCs w:val="22"/>
          <w:rtl/>
        </w:rPr>
        <w:t>עבודה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1A4C" w:rsidRPr="00C01A4C" w:rsidTr="00C01A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1A4C" w:rsidRPr="00C01A4C" w:rsidRDefault="00C01A4C" w:rsidP="00C01A4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01A4C" w:rsidRPr="00C01A4C" w:rsidRDefault="00C01A4C" w:rsidP="00C01A4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:rsidR="00C01A4C" w:rsidRPr="00C01A4C" w:rsidRDefault="00C01A4C" w:rsidP="00C01A4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" w:history="1">
              <w:r w:rsidRPr="00C01A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1A4C" w:rsidRPr="00C01A4C" w:rsidRDefault="00C01A4C" w:rsidP="00C01A4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E12BF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E12BF3">
        <w:rPr>
          <w:rFonts w:hint="cs"/>
          <w:rtl/>
        </w:rPr>
        <w:t xml:space="preserve">תחילת החוק לגבי עיצום כספי המוטל לפי חוק הגברת האכיפה של דיני העבודה, התשע"ב-2011), </w:t>
      </w:r>
      <w:r w:rsidR="00E12BF3">
        <w:rPr>
          <w:rtl/>
        </w:rPr>
        <w:br/>
      </w:r>
      <w:r w:rsidR="00E12BF3">
        <w:rPr>
          <w:rFonts w:hint="cs"/>
          <w:rtl/>
        </w:rPr>
        <w:t>תשע"ו-2016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E12B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 xml:space="preserve">כמשמעותו </w:t>
      </w:r>
      <w:r w:rsidR="00E12BF3">
        <w:rPr>
          <w:rStyle w:val="default"/>
          <w:rFonts w:cs="FrankRuehl" w:hint="cs"/>
          <w:rtl/>
        </w:rPr>
        <w:t>בפרק</w:t>
      </w:r>
      <w:r w:rsidR="00937C87">
        <w:rPr>
          <w:rStyle w:val="default"/>
          <w:rFonts w:cs="FrankRuehl" w:hint="cs"/>
          <w:rtl/>
        </w:rPr>
        <w:t xml:space="preserve"> ב' </w:t>
      </w:r>
      <w:r w:rsidR="00E12BF3">
        <w:rPr>
          <w:rStyle w:val="default"/>
          <w:rFonts w:cs="FrankRuehl" w:hint="cs"/>
          <w:rtl/>
        </w:rPr>
        <w:t>לחוק הגברת האכיפה של דיני העבודה, התשע"ב-2011</w:t>
      </w:r>
      <w:r w:rsidR="005C7FE3">
        <w:rPr>
          <w:rStyle w:val="default"/>
          <w:rFonts w:cs="FrankRuehl" w:hint="cs"/>
          <w:rtl/>
        </w:rPr>
        <w:t xml:space="preserve">, </w:t>
      </w:r>
      <w:r w:rsidR="00E12BF3">
        <w:rPr>
          <w:rStyle w:val="default"/>
          <w:rFonts w:cs="FrankRuehl" w:hint="cs"/>
          <w:rtl/>
        </w:rPr>
        <w:t>שלא שולם או שלא ישולם במועד הקובע לתשלום</w:t>
      </w:r>
      <w:r w:rsidR="00203C43">
        <w:rPr>
          <w:rStyle w:val="default"/>
          <w:rFonts w:cs="FrankRuehl" w:hint="cs"/>
          <w:rtl/>
        </w:rPr>
        <w:t xml:space="preserve">, </w:t>
      </w:r>
      <w:r w:rsidR="00E12BF3">
        <w:rPr>
          <w:rStyle w:val="default"/>
          <w:rFonts w:cs="FrankRuehl" w:hint="cs"/>
          <w:rtl/>
        </w:rPr>
        <w:t>היא מיום כ"ד בשבט התשע"ד (29 בינואר 2014)</w:t>
      </w:r>
      <w:r w:rsidR="00203C43">
        <w:rPr>
          <w:rStyle w:val="default"/>
          <w:rFonts w:cs="FrankRuehl" w:hint="cs"/>
          <w:rtl/>
        </w:rPr>
        <w:t>.</w:t>
      </w:r>
    </w:p>
    <w:p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E12BF3" w:rsidP="00E12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י"ח באב</w:t>
      </w:r>
      <w:r w:rsidR="00937C87">
        <w:rPr>
          <w:rFonts w:hint="cs"/>
          <w:rtl/>
        </w:rPr>
        <w:t xml:space="preserve"> התשע"ו (</w:t>
      </w:r>
      <w:r>
        <w:rPr>
          <w:rFonts w:hint="cs"/>
          <w:rtl/>
        </w:rPr>
        <w:t>22 באוגוסט</w:t>
      </w:r>
      <w:r w:rsidR="00937C87">
        <w:rPr>
          <w:rFonts w:hint="cs"/>
          <w:rtl/>
        </w:rPr>
        <w:t xml:space="preserve"> 2016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D96F2F"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C97B5C" w:rsidRDefault="00C97B5C">
      <w:pPr>
        <w:pStyle w:val="P00"/>
        <w:spacing w:before="72"/>
        <w:ind w:left="0" w:right="1134"/>
        <w:rPr>
          <w:rtl/>
        </w:rPr>
      </w:pPr>
    </w:p>
    <w:p w:rsidR="003A3807" w:rsidRDefault="003A3807">
      <w:pPr>
        <w:pStyle w:val="P00"/>
        <w:spacing w:before="72"/>
        <w:ind w:left="0" w:right="1134"/>
        <w:rPr>
          <w:rtl/>
        </w:rPr>
      </w:pPr>
    </w:p>
    <w:p w:rsidR="00C01A4C" w:rsidRDefault="00C01A4C">
      <w:pPr>
        <w:pStyle w:val="P00"/>
        <w:spacing w:before="72"/>
        <w:ind w:left="0" w:right="1134"/>
        <w:rPr>
          <w:rtl/>
        </w:rPr>
      </w:pPr>
    </w:p>
    <w:p w:rsidR="00C01A4C" w:rsidRDefault="00C01A4C">
      <w:pPr>
        <w:pStyle w:val="P00"/>
        <w:spacing w:before="72"/>
        <w:ind w:left="0" w:right="1134"/>
        <w:rPr>
          <w:rtl/>
        </w:rPr>
      </w:pPr>
    </w:p>
    <w:p w:rsidR="00C01A4C" w:rsidRDefault="00C01A4C" w:rsidP="00C01A4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A3807" w:rsidRPr="00C01A4C" w:rsidRDefault="003A3807" w:rsidP="00C01A4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3A3807" w:rsidRPr="00C01A4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7A9" w:rsidRDefault="00B757A9" w:rsidP="001153D7">
      <w:pPr>
        <w:pStyle w:val="P00"/>
      </w:pPr>
      <w:r>
        <w:separator/>
      </w:r>
    </w:p>
  </w:endnote>
  <w:endnote w:type="continuationSeparator" w:id="0">
    <w:p w:rsidR="00B757A9" w:rsidRDefault="00B757A9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01A4C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7A9" w:rsidRDefault="00B757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757A9" w:rsidRDefault="00B757A9">
      <w:r>
        <w:separator/>
      </w:r>
    </w:p>
  </w:footnote>
  <w:footnote w:id="1">
    <w:p w:rsidR="009F4196" w:rsidRDefault="002D0660" w:rsidP="009F41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9F4196">
          <w:rPr>
            <w:rStyle w:val="Hyperlink"/>
            <w:rFonts w:hint="cs"/>
            <w:sz w:val="20"/>
            <w:rtl/>
          </w:rPr>
          <w:t>ק"ת תשע"</w:t>
        </w:r>
        <w:r w:rsidR="00203C43" w:rsidRPr="009F4196">
          <w:rPr>
            <w:rStyle w:val="Hyperlink"/>
            <w:rFonts w:hint="cs"/>
            <w:sz w:val="20"/>
            <w:rtl/>
          </w:rPr>
          <w:t>ו</w:t>
        </w:r>
        <w:r w:rsidRPr="009F4196">
          <w:rPr>
            <w:rStyle w:val="Hyperlink"/>
            <w:rFonts w:hint="cs"/>
            <w:sz w:val="20"/>
            <w:rtl/>
          </w:rPr>
          <w:t xml:space="preserve"> מס' </w:t>
        </w:r>
        <w:r w:rsidR="00E12BF3" w:rsidRPr="009F4196">
          <w:rPr>
            <w:rStyle w:val="Hyperlink"/>
            <w:rFonts w:hint="cs"/>
            <w:sz w:val="20"/>
            <w:rtl/>
          </w:rPr>
          <w:t>7710</w:t>
        </w:r>
      </w:hyperlink>
      <w:r>
        <w:rPr>
          <w:rFonts w:hint="cs"/>
          <w:sz w:val="20"/>
          <w:rtl/>
        </w:rPr>
        <w:t xml:space="preserve"> מיום </w:t>
      </w:r>
      <w:r w:rsidR="00E12BF3">
        <w:rPr>
          <w:rFonts w:hint="cs"/>
          <w:sz w:val="20"/>
          <w:rtl/>
        </w:rPr>
        <w:t>8.9</w:t>
      </w:r>
      <w:r w:rsidR="00937C87">
        <w:rPr>
          <w:rFonts w:hint="cs"/>
          <w:sz w:val="20"/>
          <w:rtl/>
        </w:rPr>
        <w:t>.2016</w:t>
      </w:r>
      <w:r>
        <w:rPr>
          <w:rFonts w:hint="cs"/>
          <w:sz w:val="20"/>
          <w:rtl/>
        </w:rPr>
        <w:t xml:space="preserve"> עמ' </w:t>
      </w:r>
      <w:r w:rsidR="00E12BF3">
        <w:rPr>
          <w:rFonts w:hint="cs"/>
          <w:sz w:val="20"/>
          <w:rtl/>
        </w:rPr>
        <w:t>2223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E12BF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5C7FE3">
      <w:rPr>
        <w:rFonts w:hAnsi="FrankRuehl" w:hint="cs"/>
        <w:color w:val="000000"/>
        <w:sz w:val="28"/>
        <w:szCs w:val="28"/>
        <w:rtl/>
      </w:rPr>
      <w:t xml:space="preserve">עיצום כספי </w:t>
    </w:r>
    <w:r w:rsidR="00E12BF3">
      <w:rPr>
        <w:rFonts w:hAnsi="FrankRuehl" w:hint="cs"/>
        <w:color w:val="000000"/>
        <w:sz w:val="28"/>
        <w:szCs w:val="28"/>
        <w:rtl/>
      </w:rPr>
      <w:t>המוטל לפי חוק הגברת האכיפה של דיני העבודה, התשע"ב-2011</w:t>
    </w:r>
    <w:r w:rsidR="00937C87">
      <w:rPr>
        <w:rFonts w:hAnsi="FrankRuehl" w:hint="cs"/>
        <w:color w:val="000000"/>
        <w:sz w:val="28"/>
        <w:szCs w:val="28"/>
        <w:rtl/>
      </w:rPr>
      <w:t>), תשע"ו-2016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1F7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17FB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A3807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C7FE3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578"/>
    <w:rsid w:val="00800CDF"/>
    <w:rsid w:val="00813F7B"/>
    <w:rsid w:val="00834092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37C87"/>
    <w:rsid w:val="00947D07"/>
    <w:rsid w:val="00954AEA"/>
    <w:rsid w:val="00965141"/>
    <w:rsid w:val="009673BD"/>
    <w:rsid w:val="00976D3D"/>
    <w:rsid w:val="009C5F92"/>
    <w:rsid w:val="009F4196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653AC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757A9"/>
    <w:rsid w:val="00B913AB"/>
    <w:rsid w:val="00B92511"/>
    <w:rsid w:val="00B93388"/>
    <w:rsid w:val="00BC6821"/>
    <w:rsid w:val="00BD3960"/>
    <w:rsid w:val="00BE055D"/>
    <w:rsid w:val="00BF4052"/>
    <w:rsid w:val="00C01A4C"/>
    <w:rsid w:val="00C12988"/>
    <w:rsid w:val="00C44C26"/>
    <w:rsid w:val="00C463D8"/>
    <w:rsid w:val="00C52951"/>
    <w:rsid w:val="00C65047"/>
    <w:rsid w:val="00C76B56"/>
    <w:rsid w:val="00C97091"/>
    <w:rsid w:val="00C97B5C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074CC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96F2F"/>
    <w:rsid w:val="00DB7234"/>
    <w:rsid w:val="00DC6DCE"/>
    <w:rsid w:val="00DC7087"/>
    <w:rsid w:val="00DC7731"/>
    <w:rsid w:val="00DD0BF4"/>
    <w:rsid w:val="00DD13AC"/>
    <w:rsid w:val="00DD4C30"/>
    <w:rsid w:val="00DD6B39"/>
    <w:rsid w:val="00DE5915"/>
    <w:rsid w:val="00DF433F"/>
    <w:rsid w:val="00E05922"/>
    <w:rsid w:val="00E07DA5"/>
    <w:rsid w:val="00E12BF3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06BAF"/>
    <w:rsid w:val="00F24B0F"/>
    <w:rsid w:val="00F26384"/>
    <w:rsid w:val="00F35A91"/>
    <w:rsid w:val="00F575F2"/>
    <w:rsid w:val="00F70FC4"/>
    <w:rsid w:val="00F74789"/>
    <w:rsid w:val="00F86EA4"/>
    <w:rsid w:val="00FA3C3B"/>
    <w:rsid w:val="00FA59AF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12429D2-FE3B-4FC1-99FF-1E34D65F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עיצום כספי המוטל לפי חוק הגברת האכיפה של דיני העבודה, התשע"ב-2011), תשע"ו-2016</vt:lpwstr>
  </property>
  <property fmtid="{D5CDD505-2E9C-101B-9397-08002B2CF9AE}" pid="5" name="LAWNUMBER">
    <vt:lpwstr>0460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עבודה</vt:lpwstr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http://www.nevo.co.il/Law_word/law06/tak-7710.pdf;‎רשומות - תקנות כלליות#פורסמו ק"ת תשע"ו ‏מס' 7710 #מיום 8.9.2016 עמ' 2223‏</vt:lpwstr>
  </property>
</Properties>
</file>