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7526" w:rsidRDefault="006E7526" w:rsidP="00FF7B30">
      <w:pPr>
        <w:pStyle w:val="big-header"/>
        <w:ind w:left="0" w:right="1134"/>
        <w:rPr>
          <w:rFonts w:hint="cs"/>
          <w:rtl/>
        </w:rPr>
      </w:pPr>
      <w:r>
        <w:rPr>
          <w:rtl/>
        </w:rPr>
        <w:t>צו הסניגוריה הציבורית (ייצוג נאשמים מחוסרי אמצעים), תשנ"ו</w:t>
      </w:r>
      <w:r w:rsidR="00FF7B30">
        <w:rPr>
          <w:rFonts w:hint="cs"/>
          <w:rtl/>
        </w:rPr>
        <w:t>-</w:t>
      </w:r>
      <w:r>
        <w:rPr>
          <w:rtl/>
        </w:rPr>
        <w:t>1996</w:t>
      </w:r>
    </w:p>
    <w:p w:rsidR="000C0F25" w:rsidRPr="000C0F25" w:rsidRDefault="000C0F25" w:rsidP="000C0F25">
      <w:pPr>
        <w:spacing w:line="320" w:lineRule="auto"/>
        <w:jc w:val="left"/>
        <w:rPr>
          <w:rFonts w:cs="FrankRuehl"/>
          <w:szCs w:val="26"/>
          <w:rtl/>
        </w:rPr>
      </w:pPr>
    </w:p>
    <w:p w:rsidR="000C0F25" w:rsidRDefault="000C0F25" w:rsidP="000C0F25">
      <w:pPr>
        <w:spacing w:line="320" w:lineRule="auto"/>
        <w:jc w:val="left"/>
        <w:rPr>
          <w:rFonts w:cs="Miriam"/>
          <w:szCs w:val="22"/>
          <w:rtl/>
        </w:rPr>
      </w:pPr>
      <w:r w:rsidRPr="000C0F25">
        <w:rPr>
          <w:rFonts w:cs="Miriam"/>
          <w:szCs w:val="22"/>
          <w:rtl/>
        </w:rPr>
        <w:t>בתי משפט וסדרי דין</w:t>
      </w:r>
      <w:r w:rsidRPr="000C0F25">
        <w:rPr>
          <w:rFonts w:cs="FrankRuehl"/>
          <w:szCs w:val="26"/>
          <w:rtl/>
        </w:rPr>
        <w:t xml:space="preserve"> – סדר דין פלילי – סניגוריה ציבורית – ייצוג</w:t>
      </w:r>
    </w:p>
    <w:p w:rsidR="000C0F25" w:rsidRDefault="000C0F25" w:rsidP="000C0F25">
      <w:pPr>
        <w:spacing w:line="320" w:lineRule="auto"/>
        <w:jc w:val="left"/>
        <w:rPr>
          <w:rFonts w:cs="Miriam"/>
          <w:szCs w:val="22"/>
          <w:rtl/>
        </w:rPr>
      </w:pPr>
      <w:r w:rsidRPr="000C0F25">
        <w:rPr>
          <w:rFonts w:cs="Miriam"/>
          <w:szCs w:val="22"/>
          <w:rtl/>
        </w:rPr>
        <w:t>עונשין ומשפט פלילי</w:t>
      </w:r>
      <w:r w:rsidRPr="000C0F25">
        <w:rPr>
          <w:rFonts w:cs="FrankRuehl"/>
          <w:szCs w:val="26"/>
          <w:rtl/>
        </w:rPr>
        <w:t xml:space="preserve"> – סניגוריה ציבורית – ייצוג</w:t>
      </w:r>
    </w:p>
    <w:p w:rsidR="000C0F25" w:rsidRPr="000C0F25" w:rsidRDefault="000C0F25" w:rsidP="000C0F25">
      <w:pPr>
        <w:spacing w:line="320" w:lineRule="auto"/>
        <w:jc w:val="left"/>
        <w:rPr>
          <w:rFonts w:cs="Miriam" w:hint="cs"/>
          <w:szCs w:val="22"/>
          <w:rtl/>
        </w:rPr>
      </w:pPr>
      <w:r w:rsidRPr="000C0F25">
        <w:rPr>
          <w:rFonts w:cs="Miriam"/>
          <w:szCs w:val="22"/>
          <w:rtl/>
        </w:rPr>
        <w:t>בתי משפט וסדרי דין</w:t>
      </w:r>
      <w:r w:rsidRPr="000C0F25">
        <w:rPr>
          <w:rFonts w:cs="FrankRuehl"/>
          <w:szCs w:val="26"/>
          <w:rtl/>
        </w:rPr>
        <w:t xml:space="preserve"> – סיוע משפטי</w:t>
      </w:r>
    </w:p>
    <w:p w:rsidR="006E7526" w:rsidRDefault="006E7526">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E7526">
        <w:tblPrEx>
          <w:tblCellMar>
            <w:top w:w="0" w:type="dxa"/>
            <w:bottom w:w="0" w:type="dxa"/>
          </w:tblCellMar>
        </w:tblPrEx>
        <w:tc>
          <w:tcPr>
            <w:tcW w:w="850" w:type="dxa"/>
          </w:tcPr>
          <w:p w:rsidR="006E7526" w:rsidRDefault="006E752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F7B30">
              <w:rPr>
                <w:noProof/>
                <w:sz w:val="24"/>
                <w:rtl/>
              </w:rPr>
              <w:t>2</w:t>
            </w:r>
            <w:r>
              <w:rPr>
                <w:sz w:val="24"/>
                <w:rtl/>
              </w:rPr>
              <w:fldChar w:fldCharType="end"/>
            </w:r>
          </w:p>
        </w:tc>
        <w:tc>
          <w:tcPr>
            <w:tcW w:w="567" w:type="dxa"/>
          </w:tcPr>
          <w:p w:rsidR="006E7526" w:rsidRDefault="006E7526">
            <w:pPr>
              <w:spacing w:line="240" w:lineRule="auto"/>
              <w:rPr>
                <w:sz w:val="24"/>
              </w:rPr>
            </w:pPr>
            <w:hyperlink w:anchor="Seif0" w:tooltip="הגדרות" w:history="1">
              <w:r>
                <w:rPr>
                  <w:rStyle w:val="Hyperlink"/>
                </w:rPr>
                <w:t>Go</w:t>
              </w:r>
            </w:hyperlink>
          </w:p>
        </w:tc>
        <w:tc>
          <w:tcPr>
            <w:tcW w:w="5669" w:type="dxa"/>
          </w:tcPr>
          <w:p w:rsidR="006E7526" w:rsidRDefault="006E7526">
            <w:pPr>
              <w:spacing w:line="240" w:lineRule="auto"/>
              <w:rPr>
                <w:sz w:val="24"/>
                <w:rtl/>
              </w:rPr>
            </w:pPr>
            <w:r>
              <w:rPr>
                <w:sz w:val="24"/>
                <w:rtl/>
              </w:rPr>
              <w:t>הגדרות</w:t>
            </w:r>
          </w:p>
        </w:tc>
        <w:tc>
          <w:tcPr>
            <w:tcW w:w="1247" w:type="dxa"/>
          </w:tcPr>
          <w:p w:rsidR="006E7526" w:rsidRDefault="006E7526">
            <w:pPr>
              <w:spacing w:line="240" w:lineRule="auto"/>
              <w:rPr>
                <w:sz w:val="24"/>
              </w:rPr>
            </w:pPr>
            <w:r>
              <w:rPr>
                <w:sz w:val="24"/>
                <w:rtl/>
              </w:rPr>
              <w:t xml:space="preserve">סעיף 1 </w:t>
            </w:r>
          </w:p>
        </w:tc>
      </w:tr>
      <w:tr w:rsidR="006E7526">
        <w:tblPrEx>
          <w:tblCellMar>
            <w:top w:w="0" w:type="dxa"/>
            <w:bottom w:w="0" w:type="dxa"/>
          </w:tblCellMar>
        </w:tblPrEx>
        <w:tc>
          <w:tcPr>
            <w:tcW w:w="850" w:type="dxa"/>
          </w:tcPr>
          <w:p w:rsidR="006E7526" w:rsidRDefault="006E752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F7B30">
              <w:rPr>
                <w:noProof/>
                <w:sz w:val="24"/>
                <w:rtl/>
              </w:rPr>
              <w:t>2</w:t>
            </w:r>
            <w:r>
              <w:rPr>
                <w:sz w:val="24"/>
                <w:rtl/>
              </w:rPr>
              <w:fldChar w:fldCharType="end"/>
            </w:r>
          </w:p>
        </w:tc>
        <w:tc>
          <w:tcPr>
            <w:tcW w:w="567" w:type="dxa"/>
          </w:tcPr>
          <w:p w:rsidR="006E7526" w:rsidRDefault="006E7526">
            <w:pPr>
              <w:spacing w:line="240" w:lineRule="auto"/>
              <w:rPr>
                <w:sz w:val="24"/>
              </w:rPr>
            </w:pPr>
            <w:hyperlink w:anchor="Seif1" w:tooltip="אמות מידה  לזכאות לייצוג" w:history="1">
              <w:r>
                <w:rPr>
                  <w:rStyle w:val="Hyperlink"/>
                </w:rPr>
                <w:t>Go</w:t>
              </w:r>
            </w:hyperlink>
          </w:p>
        </w:tc>
        <w:tc>
          <w:tcPr>
            <w:tcW w:w="5669" w:type="dxa"/>
          </w:tcPr>
          <w:p w:rsidR="006E7526" w:rsidRDefault="006E7526">
            <w:pPr>
              <w:spacing w:line="240" w:lineRule="auto"/>
              <w:rPr>
                <w:sz w:val="24"/>
                <w:rtl/>
              </w:rPr>
            </w:pPr>
            <w:r>
              <w:rPr>
                <w:sz w:val="24"/>
                <w:rtl/>
              </w:rPr>
              <w:t>אמות מידה  לזכאות לייצוג</w:t>
            </w:r>
          </w:p>
        </w:tc>
        <w:tc>
          <w:tcPr>
            <w:tcW w:w="1247" w:type="dxa"/>
          </w:tcPr>
          <w:p w:rsidR="006E7526" w:rsidRDefault="006E7526">
            <w:pPr>
              <w:spacing w:line="240" w:lineRule="auto"/>
              <w:rPr>
                <w:sz w:val="24"/>
              </w:rPr>
            </w:pPr>
            <w:r>
              <w:rPr>
                <w:sz w:val="24"/>
                <w:rtl/>
              </w:rPr>
              <w:t xml:space="preserve">סעיף 2 </w:t>
            </w:r>
          </w:p>
        </w:tc>
      </w:tr>
      <w:tr w:rsidR="006E7526">
        <w:tblPrEx>
          <w:tblCellMar>
            <w:top w:w="0" w:type="dxa"/>
            <w:bottom w:w="0" w:type="dxa"/>
          </w:tblCellMar>
        </w:tblPrEx>
        <w:tc>
          <w:tcPr>
            <w:tcW w:w="850" w:type="dxa"/>
          </w:tcPr>
          <w:p w:rsidR="006E7526" w:rsidRDefault="006E752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F7B30">
              <w:rPr>
                <w:noProof/>
                <w:sz w:val="24"/>
                <w:rtl/>
              </w:rPr>
              <w:t>2</w:t>
            </w:r>
            <w:r>
              <w:rPr>
                <w:sz w:val="24"/>
                <w:rtl/>
              </w:rPr>
              <w:fldChar w:fldCharType="end"/>
            </w:r>
          </w:p>
        </w:tc>
        <w:tc>
          <w:tcPr>
            <w:tcW w:w="567" w:type="dxa"/>
          </w:tcPr>
          <w:p w:rsidR="006E7526" w:rsidRDefault="006E7526">
            <w:pPr>
              <w:spacing w:line="240" w:lineRule="auto"/>
              <w:rPr>
                <w:sz w:val="24"/>
              </w:rPr>
            </w:pPr>
            <w:hyperlink w:anchor="Seif2" w:tooltip="סייג לייצוג" w:history="1">
              <w:r>
                <w:rPr>
                  <w:rStyle w:val="Hyperlink"/>
                </w:rPr>
                <w:t>Go</w:t>
              </w:r>
            </w:hyperlink>
          </w:p>
        </w:tc>
        <w:tc>
          <w:tcPr>
            <w:tcW w:w="5669" w:type="dxa"/>
          </w:tcPr>
          <w:p w:rsidR="006E7526" w:rsidRDefault="006E7526">
            <w:pPr>
              <w:spacing w:line="240" w:lineRule="auto"/>
              <w:rPr>
                <w:sz w:val="24"/>
                <w:rtl/>
              </w:rPr>
            </w:pPr>
            <w:r>
              <w:rPr>
                <w:sz w:val="24"/>
                <w:rtl/>
              </w:rPr>
              <w:t>סייג לייצוג</w:t>
            </w:r>
          </w:p>
        </w:tc>
        <w:tc>
          <w:tcPr>
            <w:tcW w:w="1247" w:type="dxa"/>
          </w:tcPr>
          <w:p w:rsidR="006E7526" w:rsidRDefault="006E7526">
            <w:pPr>
              <w:spacing w:line="240" w:lineRule="auto"/>
              <w:rPr>
                <w:sz w:val="24"/>
              </w:rPr>
            </w:pPr>
            <w:r>
              <w:rPr>
                <w:sz w:val="24"/>
                <w:rtl/>
              </w:rPr>
              <w:t xml:space="preserve">סעיף 3 </w:t>
            </w:r>
          </w:p>
        </w:tc>
      </w:tr>
    </w:tbl>
    <w:p w:rsidR="006E7526" w:rsidRDefault="006E7526">
      <w:pPr>
        <w:pStyle w:val="big-header"/>
        <w:ind w:left="0" w:right="1134"/>
        <w:rPr>
          <w:rtl/>
        </w:rPr>
      </w:pPr>
    </w:p>
    <w:p w:rsidR="006E7526" w:rsidRDefault="006E7526" w:rsidP="00FF7B30">
      <w:pPr>
        <w:pStyle w:val="big-header"/>
        <w:ind w:left="0" w:right="1134"/>
        <w:rPr>
          <w:rStyle w:val="default"/>
          <w:rFonts w:cs="FrankRuehl" w:hint="cs"/>
          <w:rtl/>
        </w:rPr>
      </w:pPr>
      <w:r>
        <w:rPr>
          <w:rtl/>
        </w:rPr>
        <w:br w:type="page"/>
      </w:r>
      <w:r>
        <w:rPr>
          <w:rtl/>
        </w:rPr>
        <w:lastRenderedPageBreak/>
        <w:t>צ</w:t>
      </w:r>
      <w:r>
        <w:rPr>
          <w:rFonts w:hint="cs"/>
          <w:rtl/>
        </w:rPr>
        <w:t>ו הסניגוריה הציבורית (ייצוג נאשמים מחוסרי אמצעים), תשנ"ו</w:t>
      </w:r>
      <w:r w:rsidR="00FF7B30">
        <w:rPr>
          <w:rFonts w:hint="cs"/>
          <w:rtl/>
        </w:rPr>
        <w:t>-</w:t>
      </w:r>
      <w:r>
        <w:rPr>
          <w:rFonts w:hint="cs"/>
          <w:rtl/>
        </w:rPr>
        <w:t>1996</w:t>
      </w:r>
      <w:r w:rsidR="00FF7B30">
        <w:rPr>
          <w:rStyle w:val="a6"/>
          <w:rtl/>
        </w:rPr>
        <w:footnoteReference w:customMarkFollows="1" w:id="1"/>
        <w:t>*</w:t>
      </w:r>
    </w:p>
    <w:p w:rsidR="006E7526" w:rsidRDefault="006E7526" w:rsidP="00FF7B3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18(א)(4) לחוק הסניגוריה הציבורית,</w:t>
      </w:r>
      <w:r>
        <w:rPr>
          <w:rStyle w:val="default"/>
          <w:rFonts w:cs="FrankRuehl"/>
          <w:rtl/>
        </w:rPr>
        <w:t xml:space="preserve"> </w:t>
      </w:r>
      <w:r>
        <w:rPr>
          <w:rStyle w:val="default"/>
          <w:rFonts w:cs="FrankRuehl" w:hint="cs"/>
          <w:rtl/>
        </w:rPr>
        <w:t>תשנ"ו</w:t>
      </w:r>
      <w:r w:rsidR="00FF7B30">
        <w:rPr>
          <w:rStyle w:val="default"/>
          <w:rFonts w:cs="FrankRuehl" w:hint="cs"/>
          <w:rtl/>
        </w:rPr>
        <w:t>-</w:t>
      </w:r>
      <w:r>
        <w:rPr>
          <w:rStyle w:val="default"/>
          <w:rFonts w:cs="FrankRuehl" w:hint="cs"/>
          <w:rtl/>
        </w:rPr>
        <w:t>1995, לאחר התייעצות עם שר</w:t>
      </w:r>
      <w:r>
        <w:rPr>
          <w:rStyle w:val="default"/>
          <w:rFonts w:cs="FrankRuehl"/>
          <w:rtl/>
        </w:rPr>
        <w:t xml:space="preserve"> </w:t>
      </w:r>
      <w:r>
        <w:rPr>
          <w:rStyle w:val="default"/>
          <w:rFonts w:cs="FrankRuehl" w:hint="cs"/>
          <w:rtl/>
        </w:rPr>
        <w:t>העבודה והרווחה לענין תקנה 2, ובאישור ועדת החוקה חוק ומשפט של הכנסת, אני מצווה לאמור:</w:t>
      </w:r>
    </w:p>
    <w:p w:rsidR="006E7526" w:rsidRDefault="006E7526">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4pt;z-index:251656704" o:allowincell="f" filled="f" stroked="f" strokecolor="lime" strokeweight=".25pt">
            <v:textbox inset="0,0,0,0">
              <w:txbxContent>
                <w:p w:rsidR="006E7526" w:rsidRDefault="006E752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צו זה </w:t>
      </w:r>
      <w:r w:rsidR="00FF7B30">
        <w:rPr>
          <w:rStyle w:val="default"/>
          <w:rFonts w:cs="FrankRuehl"/>
          <w:rtl/>
        </w:rPr>
        <w:t>–</w:t>
      </w:r>
    </w:p>
    <w:p w:rsidR="006E7526" w:rsidRDefault="006E7526" w:rsidP="00FF7B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הכנסה" </w:t>
      </w:r>
      <w:r w:rsidR="00FF7B30">
        <w:rPr>
          <w:rStyle w:val="default"/>
          <w:rFonts w:cs="FrankRuehl" w:hint="cs"/>
          <w:rtl/>
        </w:rPr>
        <w:t>-</w:t>
      </w:r>
      <w:r>
        <w:rPr>
          <w:rStyle w:val="default"/>
          <w:rFonts w:cs="FrankRuehl" w:hint="cs"/>
          <w:rtl/>
        </w:rPr>
        <w:t xml:space="preserve"> הכנסה כמשמעותה בפקודת מס הכנסה, למעט קצבאות ילדים לפי סעיף 66 לחוק הביטוח הלאומי [נוסח משולב], תשנ"ו</w:t>
      </w:r>
      <w:r w:rsidR="00FF7B30">
        <w:rPr>
          <w:rStyle w:val="default"/>
          <w:rFonts w:cs="FrankRuehl" w:hint="cs"/>
          <w:rtl/>
        </w:rPr>
        <w:t>-</w:t>
      </w:r>
      <w:r>
        <w:rPr>
          <w:rStyle w:val="default"/>
          <w:rFonts w:cs="FrankRuehl" w:hint="cs"/>
          <w:rtl/>
        </w:rPr>
        <w:t>1996, והענקות לחיילים או לבני משפחות</w:t>
      </w:r>
      <w:r>
        <w:rPr>
          <w:rStyle w:val="default"/>
          <w:rFonts w:cs="FrankRuehl"/>
          <w:rtl/>
        </w:rPr>
        <w:t>י</w:t>
      </w:r>
      <w:r>
        <w:rPr>
          <w:rStyle w:val="default"/>
          <w:rFonts w:cs="FrankRuehl" w:hint="cs"/>
          <w:rtl/>
        </w:rPr>
        <w:t>הם לפי סעיף 40(ב1) לחוק חיילים משוחררים (החזרה לעבודה), תש"ט</w:t>
      </w:r>
      <w:r w:rsidR="00FF7B30">
        <w:rPr>
          <w:rStyle w:val="default"/>
          <w:rFonts w:cs="FrankRuehl" w:hint="cs"/>
          <w:rtl/>
        </w:rPr>
        <w:t>-</w:t>
      </w:r>
      <w:r>
        <w:rPr>
          <w:rStyle w:val="default"/>
          <w:rFonts w:cs="FrankRuehl" w:hint="cs"/>
          <w:rtl/>
        </w:rPr>
        <w:t xml:space="preserve">1949; </w:t>
      </w:r>
    </w:p>
    <w:p w:rsidR="006E7526" w:rsidRDefault="006E7526" w:rsidP="00FF7B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רכוש" </w:t>
      </w:r>
      <w:r w:rsidR="00FF7B30">
        <w:rPr>
          <w:rStyle w:val="default"/>
          <w:rFonts w:cs="FrankRuehl" w:hint="cs"/>
          <w:rtl/>
        </w:rPr>
        <w:t>-</w:t>
      </w:r>
      <w:r>
        <w:rPr>
          <w:rStyle w:val="default"/>
          <w:rFonts w:cs="FrankRuehl" w:hint="cs"/>
          <w:rtl/>
        </w:rPr>
        <w:t xml:space="preserve"> זכויות במיטלטלין או במקרקעין בזכות שבדין או בזכות שביושר, וכן כספים לרבות פקדונות, איגרות חוב, ניירות ערך, קופות גמל או מסמכים סחירים אחרים, והכל אם שווים בעת מתן הייצוג אינו עו</w:t>
      </w:r>
      <w:r>
        <w:rPr>
          <w:rStyle w:val="default"/>
          <w:rFonts w:cs="FrankRuehl"/>
          <w:rtl/>
        </w:rPr>
        <w:t>ל</w:t>
      </w:r>
      <w:r>
        <w:rPr>
          <w:rStyle w:val="default"/>
          <w:rFonts w:cs="FrankRuehl" w:hint="cs"/>
          <w:rtl/>
        </w:rPr>
        <w:t>ה על השכר הממוצע במשק פי שלושה;</w:t>
      </w:r>
    </w:p>
    <w:p w:rsidR="006E7526" w:rsidRDefault="006E7526" w:rsidP="00FF7B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שכר ממוצע במשק" </w:t>
      </w:r>
      <w:r w:rsidR="00FF7B30">
        <w:rPr>
          <w:rStyle w:val="default"/>
          <w:rFonts w:cs="FrankRuehl" w:hint="cs"/>
          <w:rtl/>
        </w:rPr>
        <w:t>-</w:t>
      </w:r>
      <w:r>
        <w:rPr>
          <w:rStyle w:val="default"/>
          <w:rFonts w:cs="FrankRuehl" w:hint="cs"/>
          <w:rtl/>
        </w:rPr>
        <w:t xml:space="preserve"> כמשמעותו בחוק הביטוח הלאומי [נוסח משולב], תשנ"ו</w:t>
      </w:r>
      <w:r w:rsidR="00FF7B30">
        <w:rPr>
          <w:rStyle w:val="default"/>
          <w:rFonts w:cs="FrankRuehl" w:hint="cs"/>
          <w:rtl/>
        </w:rPr>
        <w:t>-</w:t>
      </w:r>
      <w:r>
        <w:rPr>
          <w:rStyle w:val="default"/>
          <w:rFonts w:cs="FrankRuehl" w:hint="cs"/>
          <w:rtl/>
        </w:rPr>
        <w:t xml:space="preserve">1996. </w:t>
      </w:r>
    </w:p>
    <w:p w:rsidR="006E7526" w:rsidRDefault="006E7526">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9.05pt;z-index:251657728" o:allowincell="f" filled="f" stroked="f" strokecolor="lime" strokeweight=".25pt">
            <v:textbox inset="0,0,0,0">
              <w:txbxContent>
                <w:p w:rsidR="006E7526" w:rsidRDefault="006E7526" w:rsidP="00FF7B30">
                  <w:pPr>
                    <w:spacing w:line="160" w:lineRule="exact"/>
                    <w:jc w:val="left"/>
                    <w:rPr>
                      <w:rFonts w:cs="Miriam"/>
                      <w:noProof/>
                      <w:szCs w:val="18"/>
                      <w:rtl/>
                    </w:rPr>
                  </w:pPr>
                  <w:r>
                    <w:rPr>
                      <w:rFonts w:cs="Miriam"/>
                      <w:szCs w:val="18"/>
                      <w:rtl/>
                    </w:rPr>
                    <w:t>א</w:t>
                  </w:r>
                  <w:r>
                    <w:rPr>
                      <w:rFonts w:cs="Miriam" w:hint="cs"/>
                      <w:szCs w:val="18"/>
                      <w:rtl/>
                    </w:rPr>
                    <w:t xml:space="preserve">מות מידה </w:t>
                  </w:r>
                  <w:r>
                    <w:rPr>
                      <w:rFonts w:cs="Miriam"/>
                      <w:szCs w:val="18"/>
                      <w:rtl/>
                    </w:rPr>
                    <w:t>ל</w:t>
                  </w:r>
                  <w:r>
                    <w:rPr>
                      <w:rFonts w:cs="Miriam" w:hint="cs"/>
                      <w:szCs w:val="18"/>
                      <w:rtl/>
                    </w:rPr>
                    <w:t>זכאות לייצוג</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נאשם שאינו חבר-בני-אדם יהיה זכאי לייצוג בידי הסניגוריה הציבורית לפי החוק, בשל היותו מחוסר אמצעים, אם נתקיימו בו כ</w:t>
      </w:r>
      <w:r>
        <w:rPr>
          <w:rStyle w:val="default"/>
          <w:rFonts w:cs="FrankRuehl"/>
          <w:rtl/>
        </w:rPr>
        <w:t>ל</w:t>
      </w:r>
      <w:r>
        <w:rPr>
          <w:rStyle w:val="default"/>
          <w:rFonts w:cs="FrankRuehl" w:hint="cs"/>
          <w:rtl/>
        </w:rPr>
        <w:t xml:space="preserve"> התנאים שלהלן:</w:t>
      </w:r>
    </w:p>
    <w:p w:rsidR="006E7526" w:rsidRDefault="006E7526">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אם הנאשם </w:t>
      </w:r>
      <w:r w:rsidR="00FF7B30">
        <w:rPr>
          <w:rStyle w:val="default"/>
          <w:rFonts w:cs="FrankRuehl"/>
          <w:rtl/>
        </w:rPr>
        <w:t>–</w:t>
      </w:r>
    </w:p>
    <w:p w:rsidR="006E7526" w:rsidRDefault="006E7526" w:rsidP="00FF7B30">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יחיד או משפחה של שלוש נפשות לכל היותר </w:t>
      </w:r>
      <w:r w:rsidR="00FF7B30">
        <w:rPr>
          <w:rStyle w:val="default"/>
          <w:rFonts w:cs="FrankRuehl" w:hint="cs"/>
          <w:rtl/>
        </w:rPr>
        <w:t>-</w:t>
      </w:r>
      <w:r>
        <w:rPr>
          <w:rStyle w:val="default"/>
          <w:rFonts w:cs="FrankRuehl" w:hint="cs"/>
          <w:rtl/>
        </w:rPr>
        <w:t xml:space="preserve"> גובה הכנסתו עד 67% מהשכר הממוצע במשק;</w:t>
      </w:r>
    </w:p>
    <w:p w:rsidR="006E7526" w:rsidRDefault="006E7526" w:rsidP="00FF7B30">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משפחה של ארבע נפשות או יותר </w:t>
      </w:r>
      <w:r w:rsidR="00FF7B30">
        <w:rPr>
          <w:rStyle w:val="default"/>
          <w:rFonts w:cs="FrankRuehl" w:hint="cs"/>
          <w:rtl/>
        </w:rPr>
        <w:t>-</w:t>
      </w:r>
      <w:r>
        <w:rPr>
          <w:rStyle w:val="default"/>
          <w:rFonts w:cs="FrankRuehl" w:hint="cs"/>
          <w:rtl/>
        </w:rPr>
        <w:t xml:space="preserve"> גובה הכנסתו כאמור בפסקת משנה (א), ובתוספת 6% לכל נפש נוספת על שלוש;</w:t>
      </w:r>
    </w:p>
    <w:p w:rsidR="006E7526" w:rsidRDefault="006E7526" w:rsidP="00FF7B30">
      <w:pPr>
        <w:pStyle w:val="P33"/>
        <w:spacing w:before="72"/>
        <w:ind w:left="1474" w:right="1134"/>
        <w:rPr>
          <w:rStyle w:val="default"/>
          <w:rFonts w:cs="FrankRuehl"/>
          <w:rtl/>
        </w:rPr>
      </w:pPr>
      <w:r>
        <w:rPr>
          <w:rStyle w:val="default"/>
          <w:rFonts w:cs="FrankRuehl"/>
          <w:rtl/>
        </w:rPr>
        <w:t>ב</w:t>
      </w:r>
      <w:r>
        <w:rPr>
          <w:rStyle w:val="default"/>
          <w:rFonts w:cs="FrankRuehl" w:hint="cs"/>
          <w:rtl/>
        </w:rPr>
        <w:t xml:space="preserve">סעיף קטן זה, "משפחה" </w:t>
      </w:r>
      <w:r w:rsidR="00FF7B30">
        <w:rPr>
          <w:rStyle w:val="default"/>
          <w:rFonts w:cs="FrankRuehl" w:hint="cs"/>
          <w:rtl/>
        </w:rPr>
        <w:t>-</w:t>
      </w:r>
      <w:r>
        <w:rPr>
          <w:rStyle w:val="default"/>
          <w:rFonts w:cs="FrankRuehl" w:hint="cs"/>
          <w:rtl/>
        </w:rPr>
        <w:t xml:space="preserve"> לרבות בני זוג החי</w:t>
      </w:r>
      <w:r>
        <w:rPr>
          <w:rStyle w:val="default"/>
          <w:rFonts w:cs="FrankRuehl"/>
          <w:rtl/>
        </w:rPr>
        <w:t>י</w:t>
      </w:r>
      <w:r>
        <w:rPr>
          <w:rStyle w:val="default"/>
          <w:rFonts w:cs="FrankRuehl" w:hint="cs"/>
          <w:rtl/>
        </w:rPr>
        <w:t>ם חיי משפחה במשק בית משותף, ללא נישואין;</w:t>
      </w:r>
    </w:p>
    <w:p w:rsidR="006E7526" w:rsidRDefault="006E7526">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אין לנאשם רכוש הניתן למימוש או שבשלו יוכל ליטול הלוואה; לענין זה, היה רכושו של הנאשם דירה </w:t>
      </w:r>
      <w:r w:rsidR="00FF7B30">
        <w:rPr>
          <w:rStyle w:val="default"/>
          <w:rFonts w:cs="FrankRuehl"/>
          <w:rtl/>
        </w:rPr>
        <w:t>–</w:t>
      </w:r>
    </w:p>
    <w:p w:rsidR="006E7526" w:rsidRDefault="006E7526" w:rsidP="00FF7B30">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אם הוא מתגורר בה </w:t>
      </w:r>
      <w:r w:rsidR="00FF7B30">
        <w:rPr>
          <w:rStyle w:val="default"/>
          <w:rFonts w:cs="FrankRuehl" w:hint="cs"/>
          <w:rtl/>
        </w:rPr>
        <w:t>-</w:t>
      </w:r>
      <w:r>
        <w:rPr>
          <w:rStyle w:val="default"/>
          <w:rFonts w:cs="FrankRuehl" w:hint="cs"/>
          <w:rtl/>
        </w:rPr>
        <w:t xml:space="preserve"> </w:t>
      </w:r>
      <w:r>
        <w:rPr>
          <w:rStyle w:val="default"/>
          <w:rFonts w:cs="FrankRuehl"/>
          <w:rtl/>
        </w:rPr>
        <w:t>ל</w:t>
      </w:r>
      <w:r>
        <w:rPr>
          <w:rStyle w:val="default"/>
          <w:rFonts w:cs="FrankRuehl" w:hint="cs"/>
          <w:rtl/>
        </w:rPr>
        <w:t>א יראו בדירה רכוש הניתן למימוש;</w:t>
      </w:r>
    </w:p>
    <w:p w:rsidR="006E7526" w:rsidRDefault="006E7526" w:rsidP="00FF7B30">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אם אינו מתגורר בה והוא מקבל דמי שכירות, בלא ששכר לעצמו דירה אחרת </w:t>
      </w:r>
      <w:r w:rsidR="00FF7B30">
        <w:rPr>
          <w:rStyle w:val="default"/>
          <w:rFonts w:cs="FrankRuehl" w:hint="cs"/>
          <w:rtl/>
        </w:rPr>
        <w:t>-</w:t>
      </w:r>
      <w:r>
        <w:rPr>
          <w:rStyle w:val="default"/>
          <w:rFonts w:cs="FrankRuehl" w:hint="cs"/>
          <w:rtl/>
        </w:rPr>
        <w:t xml:space="preserve"> יראו בדירה רכוש הניתן למימוש;</w:t>
      </w:r>
    </w:p>
    <w:p w:rsidR="006E7526" w:rsidRDefault="006E7526" w:rsidP="00FF7B30">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אם אינו מתגורר בה והוא מקבל דמי שכירות</w:t>
      </w:r>
      <w:r>
        <w:rPr>
          <w:rStyle w:val="default"/>
          <w:rFonts w:cs="FrankRuehl"/>
          <w:rtl/>
        </w:rPr>
        <w:t xml:space="preserve"> </w:t>
      </w:r>
      <w:r>
        <w:rPr>
          <w:rStyle w:val="default"/>
          <w:rFonts w:cs="FrankRuehl" w:hint="cs"/>
          <w:rtl/>
        </w:rPr>
        <w:t xml:space="preserve">גבוהים מדמי השכירות שהוא משלם בעד הדירה שהוא מתגורר בה </w:t>
      </w:r>
      <w:r w:rsidR="00FF7B30">
        <w:rPr>
          <w:rStyle w:val="default"/>
          <w:rFonts w:cs="FrankRuehl" w:hint="cs"/>
          <w:rtl/>
        </w:rPr>
        <w:t>-</w:t>
      </w:r>
      <w:r>
        <w:rPr>
          <w:rStyle w:val="default"/>
          <w:rFonts w:cs="FrankRuehl" w:hint="cs"/>
          <w:rtl/>
        </w:rPr>
        <w:t xml:space="preserve"> יראו את ההפרש כהכנסה;</w:t>
      </w:r>
    </w:p>
    <w:p w:rsidR="006E7526" w:rsidRDefault="006E7526" w:rsidP="00FF7B30">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אם אינו מתגורר בה והוא מקבל דמי שכירות</w:t>
      </w:r>
      <w:r>
        <w:rPr>
          <w:rStyle w:val="default"/>
          <w:rFonts w:cs="FrankRuehl"/>
          <w:rtl/>
        </w:rPr>
        <w:t xml:space="preserve"> </w:t>
      </w:r>
      <w:r>
        <w:rPr>
          <w:rStyle w:val="default"/>
          <w:rFonts w:cs="FrankRuehl" w:hint="cs"/>
          <w:rtl/>
        </w:rPr>
        <w:t xml:space="preserve">בשיעור דמי השכירות שהוא משלם בעד הדירה שהוא מתגורר בה </w:t>
      </w:r>
      <w:r w:rsidR="00FF7B30">
        <w:rPr>
          <w:rStyle w:val="default"/>
          <w:rFonts w:cs="FrankRuehl" w:hint="cs"/>
          <w:rtl/>
        </w:rPr>
        <w:t>-</w:t>
      </w:r>
      <w:r>
        <w:rPr>
          <w:rStyle w:val="default"/>
          <w:rFonts w:cs="FrankRuehl" w:hint="cs"/>
          <w:rtl/>
        </w:rPr>
        <w:t xml:space="preserve"> לא יראו את דמי השכירות שקיבל</w:t>
      </w:r>
      <w:r>
        <w:rPr>
          <w:rtl/>
        </w:rPr>
        <w:t> </w:t>
      </w:r>
      <w:r>
        <w:rPr>
          <w:rStyle w:val="default"/>
          <w:rFonts w:cs="FrankRuehl"/>
          <w:rtl/>
        </w:rPr>
        <w:t xml:space="preserve"> </w:t>
      </w:r>
      <w:r>
        <w:rPr>
          <w:rStyle w:val="default"/>
          <w:rFonts w:cs="FrankRuehl" w:hint="cs"/>
          <w:rtl/>
        </w:rPr>
        <w:t>כהכנסה.</w:t>
      </w:r>
    </w:p>
    <w:p w:rsidR="006E7526" w:rsidRDefault="006E7526" w:rsidP="00FF7B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סעיף זה, היה הנאשם ראש המשפחה </w:t>
      </w:r>
      <w:r w:rsidR="00FF7B30">
        <w:rPr>
          <w:rStyle w:val="default"/>
          <w:rFonts w:cs="FrankRuehl" w:hint="cs"/>
          <w:rtl/>
        </w:rPr>
        <w:t>-</w:t>
      </w:r>
      <w:r>
        <w:rPr>
          <w:rStyle w:val="default"/>
          <w:rFonts w:cs="FrankRuehl" w:hint="cs"/>
          <w:rtl/>
        </w:rPr>
        <w:t xml:space="preserve"> תיראה הכנסתו של בן משפחה הסמוך על שולחנו כחלק מהכנסתו של ראש המשפחה; היה ה</w:t>
      </w:r>
      <w:r>
        <w:rPr>
          <w:rStyle w:val="default"/>
          <w:rFonts w:cs="FrankRuehl"/>
          <w:rtl/>
        </w:rPr>
        <w:t>נ</w:t>
      </w:r>
      <w:r>
        <w:rPr>
          <w:rStyle w:val="default"/>
          <w:rFonts w:cs="FrankRuehl" w:hint="cs"/>
          <w:rtl/>
        </w:rPr>
        <w:t xml:space="preserve">אשם בן משפחה כאמור </w:t>
      </w:r>
      <w:r w:rsidR="00FF7B30">
        <w:rPr>
          <w:rStyle w:val="default"/>
          <w:rFonts w:cs="FrankRuehl" w:hint="cs"/>
          <w:rtl/>
        </w:rPr>
        <w:t>-</w:t>
      </w:r>
      <w:r>
        <w:rPr>
          <w:rStyle w:val="default"/>
          <w:rFonts w:cs="FrankRuehl" w:hint="cs"/>
          <w:rtl/>
        </w:rPr>
        <w:t xml:space="preserve"> תיראה הכנסתם של ראש המשפחה ושל בן משפחה אחר הסמוך על שולחנו של אותו ראש משפחה כחלק מהכנסת הנאשם.</w:t>
      </w:r>
    </w:p>
    <w:p w:rsidR="006E7526" w:rsidRDefault="006E7526">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4.25pt;z-index:251658752" o:allowincell="f" filled="f" stroked="f" strokecolor="lime" strokeweight=".25pt">
            <v:textbox inset="0,0,0,0">
              <w:txbxContent>
                <w:p w:rsidR="006E7526" w:rsidRDefault="006E7526">
                  <w:pPr>
                    <w:spacing w:line="160" w:lineRule="exact"/>
                    <w:jc w:val="left"/>
                    <w:rPr>
                      <w:rFonts w:cs="Miriam"/>
                      <w:noProof/>
                      <w:szCs w:val="18"/>
                      <w:rtl/>
                    </w:rPr>
                  </w:pPr>
                  <w:r>
                    <w:rPr>
                      <w:rFonts w:cs="Miriam"/>
                      <w:szCs w:val="18"/>
                      <w:rtl/>
                    </w:rPr>
                    <w:t>ס</w:t>
                  </w:r>
                  <w:r>
                    <w:rPr>
                      <w:rFonts w:cs="Miriam" w:hint="cs"/>
                      <w:szCs w:val="18"/>
                      <w:rtl/>
                    </w:rPr>
                    <w:t>ייג לייצוג</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יהיה זכאי נאשם שהוא מחוסר אמצעים כאמור בסעיף 2 לייצוג בידי הסניגוריה הציבורית לפי צו זה, אלא אם כן הוא נאשם בעבירה ש</w:t>
      </w:r>
      <w:r>
        <w:rPr>
          <w:rStyle w:val="default"/>
          <w:rFonts w:cs="FrankRuehl"/>
          <w:rtl/>
        </w:rPr>
        <w:t>ד</w:t>
      </w:r>
      <w:r>
        <w:rPr>
          <w:rStyle w:val="default"/>
          <w:rFonts w:cs="FrankRuehl" w:hint="cs"/>
          <w:rtl/>
        </w:rPr>
        <w:t>ינה 5 שנות מאסר ומעלה.</w:t>
      </w:r>
    </w:p>
    <w:p w:rsidR="006E7526" w:rsidRDefault="006E7526">
      <w:pPr>
        <w:pStyle w:val="P00"/>
        <w:spacing w:before="72"/>
        <w:ind w:left="0" w:right="1134"/>
        <w:rPr>
          <w:rStyle w:val="default"/>
          <w:rFonts w:cs="FrankRuehl" w:hint="cs"/>
          <w:rtl/>
        </w:rPr>
      </w:pPr>
    </w:p>
    <w:p w:rsidR="00FF7B30" w:rsidRDefault="00FF7B30">
      <w:pPr>
        <w:pStyle w:val="P00"/>
        <w:spacing w:before="72"/>
        <w:ind w:left="0" w:right="1134"/>
        <w:rPr>
          <w:rStyle w:val="default"/>
          <w:rFonts w:cs="FrankRuehl" w:hint="cs"/>
          <w:rtl/>
        </w:rPr>
      </w:pPr>
    </w:p>
    <w:p w:rsidR="006E7526" w:rsidRDefault="006E7526" w:rsidP="00FF7B3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ד</w:t>
      </w:r>
      <w:r>
        <w:rPr>
          <w:rStyle w:val="default"/>
          <w:rFonts w:cs="FrankRuehl" w:hint="cs"/>
          <w:rtl/>
        </w:rPr>
        <w:t>' בסיון תשנ"ו (22 במאי 1996)</w:t>
      </w:r>
      <w:r w:rsidR="00FF7B30">
        <w:rPr>
          <w:rStyle w:val="default"/>
          <w:rFonts w:cs="FrankRuehl" w:hint="cs"/>
          <w:rtl/>
        </w:rPr>
        <w:tab/>
      </w:r>
      <w:r>
        <w:rPr>
          <w:rStyle w:val="default"/>
          <w:rFonts w:cs="FrankRuehl" w:hint="cs"/>
          <w:rtl/>
        </w:rPr>
        <w:t>דוד ליבאי</w:t>
      </w:r>
    </w:p>
    <w:p w:rsidR="006E7526" w:rsidRDefault="006E7526" w:rsidP="00FF7B30">
      <w:pPr>
        <w:pStyle w:val="sig-1"/>
        <w:widowControl/>
        <w:tabs>
          <w:tab w:val="clear" w:pos="851"/>
          <w:tab w:val="clear" w:pos="2835"/>
          <w:tab w:val="clear" w:pos="4820"/>
          <w:tab w:val="center" w:pos="5670"/>
        </w:tabs>
        <w:ind w:left="0" w:right="1134"/>
        <w:rPr>
          <w:rtl/>
        </w:rPr>
      </w:pPr>
      <w:r>
        <w:rPr>
          <w:rtl/>
        </w:rPr>
        <w:tab/>
      </w:r>
      <w:r>
        <w:rPr>
          <w:rFonts w:hint="cs"/>
          <w:rtl/>
        </w:rPr>
        <w:t>שר המשפטים</w:t>
      </w:r>
    </w:p>
    <w:p w:rsidR="006E7526" w:rsidRPr="00FF7B30" w:rsidRDefault="006E7526" w:rsidP="00FF7B30">
      <w:pPr>
        <w:pStyle w:val="P00"/>
        <w:spacing w:before="72"/>
        <w:ind w:left="0" w:right="1134"/>
        <w:rPr>
          <w:rStyle w:val="default"/>
          <w:rFonts w:cs="FrankRuehl"/>
          <w:rtl/>
        </w:rPr>
      </w:pPr>
    </w:p>
    <w:p w:rsidR="006E7526" w:rsidRPr="00FF7B30" w:rsidRDefault="006E7526" w:rsidP="00FF7B30">
      <w:pPr>
        <w:pStyle w:val="P00"/>
        <w:spacing w:before="72"/>
        <w:ind w:left="0" w:right="1134"/>
        <w:rPr>
          <w:rStyle w:val="default"/>
          <w:rFonts w:cs="FrankRuehl"/>
          <w:rtl/>
        </w:rPr>
      </w:pPr>
    </w:p>
    <w:p w:rsidR="006E7526" w:rsidRPr="00FF7B30" w:rsidRDefault="006E7526" w:rsidP="00FF7B30">
      <w:pPr>
        <w:pStyle w:val="P00"/>
        <w:spacing w:before="72"/>
        <w:ind w:left="0" w:right="1134"/>
        <w:rPr>
          <w:rStyle w:val="default"/>
          <w:rFonts w:cs="FrankRuehl"/>
          <w:rtl/>
        </w:rPr>
      </w:pPr>
      <w:bookmarkStart w:id="3" w:name="LawPartEnd"/>
    </w:p>
    <w:bookmarkEnd w:id="3"/>
    <w:p w:rsidR="006E7526" w:rsidRPr="00FF7B30" w:rsidRDefault="006E7526" w:rsidP="00FF7B30">
      <w:pPr>
        <w:pStyle w:val="P00"/>
        <w:spacing w:before="72"/>
        <w:ind w:left="0" w:right="1134"/>
        <w:rPr>
          <w:rStyle w:val="default"/>
          <w:rFonts w:cs="FrankRuehl"/>
          <w:rtl/>
        </w:rPr>
      </w:pPr>
    </w:p>
    <w:sectPr w:rsidR="006E7526" w:rsidRPr="00FF7B30">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36B9" w:rsidRDefault="008736B9">
      <w:r>
        <w:separator/>
      </w:r>
    </w:p>
  </w:endnote>
  <w:endnote w:type="continuationSeparator" w:id="0">
    <w:p w:rsidR="008736B9" w:rsidRDefault="00873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7526" w:rsidRDefault="006E752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E7526" w:rsidRDefault="006E752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E7526" w:rsidRDefault="006E752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F7B30">
      <w:rPr>
        <w:rFonts w:cs="TopType Jerushalmi"/>
        <w:noProof/>
        <w:color w:val="000000"/>
        <w:sz w:val="14"/>
        <w:szCs w:val="14"/>
      </w:rPr>
      <w:t>D:\Yael\hakika\Revadim</w:t>
    </w:r>
    <w:r w:rsidR="00FF7B30" w:rsidRPr="00FF7B30">
      <w:rPr>
        <w:rFonts w:cs="TopType Jerushalmi"/>
        <w:noProof/>
        <w:color w:val="000000"/>
        <w:sz w:val="14"/>
        <w:szCs w:val="14"/>
        <w:rtl/>
      </w:rPr>
      <w:t>\קישורים\</w:t>
    </w:r>
    <w:r w:rsidR="00FF7B30">
      <w:rPr>
        <w:rFonts w:cs="TopType Jerushalmi"/>
        <w:noProof/>
        <w:color w:val="000000"/>
        <w:sz w:val="14"/>
        <w:szCs w:val="14"/>
      </w:rPr>
      <w:t>P170K2_004.doc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7526" w:rsidRDefault="006E752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F7B30">
      <w:rPr>
        <w:rFonts w:hAnsi="FrankRuehl" w:cs="FrankRuehl"/>
        <w:noProof/>
        <w:sz w:val="24"/>
        <w:szCs w:val="24"/>
        <w:rtl/>
      </w:rPr>
      <w:t>2</w:t>
    </w:r>
    <w:r>
      <w:rPr>
        <w:rFonts w:hAnsi="FrankRuehl" w:cs="FrankRuehl"/>
        <w:sz w:val="24"/>
        <w:szCs w:val="24"/>
        <w:rtl/>
      </w:rPr>
      <w:fldChar w:fldCharType="end"/>
    </w:r>
  </w:p>
  <w:p w:rsidR="006E7526" w:rsidRDefault="006E752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E7526" w:rsidRDefault="006E752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F7B30">
      <w:rPr>
        <w:rFonts w:cs="TopType Jerushalmi"/>
        <w:noProof/>
        <w:color w:val="000000"/>
        <w:sz w:val="14"/>
        <w:szCs w:val="14"/>
      </w:rPr>
      <w:t>D:\Yael\hakika\Revadim</w:t>
    </w:r>
    <w:r w:rsidR="00FF7B30" w:rsidRPr="00FF7B30">
      <w:rPr>
        <w:rFonts w:cs="TopType Jerushalmi"/>
        <w:noProof/>
        <w:color w:val="000000"/>
        <w:sz w:val="14"/>
        <w:szCs w:val="14"/>
        <w:rtl/>
      </w:rPr>
      <w:t>\קישורים\</w:t>
    </w:r>
    <w:r w:rsidR="00FF7B30">
      <w:rPr>
        <w:rFonts w:cs="TopType Jerushalmi"/>
        <w:noProof/>
        <w:color w:val="000000"/>
        <w:sz w:val="14"/>
        <w:szCs w:val="14"/>
      </w:rPr>
      <w:t>P170K2_004.doc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36B9" w:rsidRDefault="008736B9" w:rsidP="00FF7B30">
      <w:pPr>
        <w:spacing w:before="60" w:line="240" w:lineRule="auto"/>
        <w:ind w:right="1134"/>
      </w:pPr>
      <w:r>
        <w:separator/>
      </w:r>
    </w:p>
  </w:footnote>
  <w:footnote w:type="continuationSeparator" w:id="0">
    <w:p w:rsidR="008736B9" w:rsidRDefault="008736B9">
      <w:r>
        <w:continuationSeparator/>
      </w:r>
    </w:p>
  </w:footnote>
  <w:footnote w:id="1">
    <w:p w:rsidR="00FF7B30" w:rsidRPr="00FF7B30" w:rsidRDefault="00FF7B30" w:rsidP="00FF7B3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FF7B30">
        <w:rPr>
          <w:sz w:val="20"/>
          <w:rtl/>
        </w:rPr>
        <w:t xml:space="preserve">* </w:t>
      </w:r>
      <w:r>
        <w:rPr>
          <w:sz w:val="20"/>
          <w:rtl/>
        </w:rPr>
        <w:t>פ</w:t>
      </w:r>
      <w:r>
        <w:rPr>
          <w:rFonts w:hint="cs"/>
          <w:sz w:val="20"/>
          <w:rtl/>
        </w:rPr>
        <w:t xml:space="preserve">ורסם </w:t>
      </w:r>
      <w:hyperlink r:id="rId1" w:history="1">
        <w:r w:rsidRPr="00F06050">
          <w:rPr>
            <w:rStyle w:val="Hyperlink"/>
            <w:rFonts w:hint="cs"/>
            <w:sz w:val="20"/>
            <w:rtl/>
          </w:rPr>
          <w:t>ק"ת תשנ"ו מס' 5759</w:t>
        </w:r>
      </w:hyperlink>
      <w:r>
        <w:rPr>
          <w:rFonts w:hint="cs"/>
          <w:sz w:val="20"/>
          <w:rtl/>
        </w:rPr>
        <w:t xml:space="preserve"> מיום 9.6.1996 עמ' 980.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7526" w:rsidRDefault="006E752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הסניגוריה הציבורית (ייצוג נאשמים מחוסרי אמצעים), תשנ"ו–1996</w:t>
    </w:r>
  </w:p>
  <w:p w:rsidR="006E7526" w:rsidRDefault="006E752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E7526" w:rsidRDefault="006E752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7526" w:rsidRDefault="006E7526" w:rsidP="00FF7B3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הסניגוריה הציבורית (ייצוג נאשמים מחוסרי אמצעים), תשנ"ו</w:t>
    </w:r>
    <w:r w:rsidR="00FF7B30">
      <w:rPr>
        <w:rFonts w:hAnsi="FrankRuehl" w:cs="FrankRuehl" w:hint="cs"/>
        <w:color w:val="000000"/>
        <w:sz w:val="28"/>
        <w:szCs w:val="28"/>
        <w:rtl/>
      </w:rPr>
      <w:t>-</w:t>
    </w:r>
    <w:r>
      <w:rPr>
        <w:rFonts w:hAnsi="FrankRuehl" w:cs="FrankRuehl"/>
        <w:color w:val="000000"/>
        <w:sz w:val="28"/>
        <w:szCs w:val="28"/>
        <w:rtl/>
      </w:rPr>
      <w:t>1996</w:t>
    </w:r>
  </w:p>
  <w:p w:rsidR="006E7526" w:rsidRDefault="006E752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E7526" w:rsidRDefault="006E752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0F25"/>
    <w:rsid w:val="00046927"/>
    <w:rsid w:val="000C0F25"/>
    <w:rsid w:val="001E6C3C"/>
    <w:rsid w:val="006E7526"/>
    <w:rsid w:val="00793DFA"/>
    <w:rsid w:val="008736B9"/>
    <w:rsid w:val="00EC07D2"/>
    <w:rsid w:val="00F06050"/>
    <w:rsid w:val="00F72FE0"/>
    <w:rsid w:val="00FF7B3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D5D8785-F4EE-4B14-9D6E-E2B03F7D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FF7B30"/>
    <w:rPr>
      <w:sz w:val="20"/>
      <w:szCs w:val="20"/>
    </w:rPr>
  </w:style>
  <w:style w:type="character" w:styleId="a6">
    <w:name w:val="footnote reference"/>
    <w:basedOn w:val="a0"/>
    <w:semiHidden/>
    <w:rsid w:val="00FF7B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7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392</Words>
  <Characters>2241</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פרק 170ב</vt:lpstr>
    </vt:vector>
  </TitlesOfParts>
  <Company/>
  <LinksUpToDate>false</LinksUpToDate>
  <CharactersWithSpaces>2628</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7929862</vt:i4>
      </vt:variant>
      <vt:variant>
        <vt:i4>0</vt:i4>
      </vt:variant>
      <vt:variant>
        <vt:i4>0</vt:i4>
      </vt:variant>
      <vt:variant>
        <vt:i4>5</vt:i4>
      </vt:variant>
      <vt:variant>
        <vt:lpwstr>http://www.nevo.co.il/Law_word/law06/TAK-5759.pdf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170ב</dc:title>
  <dc:subject/>
  <dc:creator>eli</dc:creator>
  <cp:keywords/>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P170K2</vt:lpwstr>
  </property>
  <property fmtid="{D5CDD505-2E9C-101B-9397-08002B2CF9AE}" pid="3" name="CHNAME">
    <vt:lpwstr>סניגוריה ציבורית</vt:lpwstr>
  </property>
  <property fmtid="{D5CDD505-2E9C-101B-9397-08002B2CF9AE}" pid="4" name="LAWNAME">
    <vt:lpwstr>צו הסניגוריה הציבורית (ייצוג נאשמים מחוסרי אמצעים), תשנ"ו-1996</vt:lpwstr>
  </property>
  <property fmtid="{D5CDD505-2E9C-101B-9397-08002B2CF9AE}" pid="5" name="LAWNUMBER">
    <vt:lpwstr>0004</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סדר דין פלילי</vt:lpwstr>
  </property>
  <property fmtid="{D5CDD505-2E9C-101B-9397-08002B2CF9AE}" pid="9" name="NOSE31">
    <vt:lpwstr>סניגוריה ציבורית</vt:lpwstr>
  </property>
  <property fmtid="{D5CDD505-2E9C-101B-9397-08002B2CF9AE}" pid="10" name="NOSE41">
    <vt:lpwstr>ייצוג</vt:lpwstr>
  </property>
  <property fmtid="{D5CDD505-2E9C-101B-9397-08002B2CF9AE}" pid="11" name="NOSE12">
    <vt:lpwstr>עונשין ומשפט פלילי</vt:lpwstr>
  </property>
  <property fmtid="{D5CDD505-2E9C-101B-9397-08002B2CF9AE}" pid="12" name="NOSE22">
    <vt:lpwstr>סניגוריה ציבורית</vt:lpwstr>
  </property>
  <property fmtid="{D5CDD505-2E9C-101B-9397-08002B2CF9AE}" pid="13" name="NOSE32">
    <vt:lpwstr>ייצוג</vt:lpwstr>
  </property>
  <property fmtid="{D5CDD505-2E9C-101B-9397-08002B2CF9AE}" pid="14" name="NOSE42">
    <vt:lpwstr/>
  </property>
  <property fmtid="{D5CDD505-2E9C-101B-9397-08002B2CF9AE}" pid="15" name="NOSE13">
    <vt:lpwstr>בתי משפט וסדרי דין</vt:lpwstr>
  </property>
  <property fmtid="{D5CDD505-2E9C-101B-9397-08002B2CF9AE}" pid="16" name="NOSE23">
    <vt:lpwstr>סיוע משפטי</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הסניגוריה הציבורית</vt:lpwstr>
  </property>
  <property fmtid="{D5CDD505-2E9C-101B-9397-08002B2CF9AE}" pid="48" name="MEKOR_SAIF1">
    <vt:lpwstr>18XאX4X</vt:lpwstr>
  </property>
</Properties>
</file>