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BC32" w14:textId="77777777" w:rsidR="003D31B3" w:rsidRDefault="003D31B3" w:rsidP="00A17770">
      <w:pPr>
        <w:pStyle w:val="big-header"/>
        <w:ind w:left="0" w:right="1134"/>
        <w:rPr>
          <w:rFonts w:cs="FrankRuehl" w:hint="cs"/>
          <w:sz w:val="32"/>
          <w:rtl/>
        </w:rPr>
      </w:pPr>
      <w:r>
        <w:rPr>
          <w:rFonts w:cs="FrankRuehl"/>
          <w:sz w:val="32"/>
          <w:rtl/>
        </w:rPr>
        <w:t>צו העונשין (</w:t>
      </w:r>
      <w:r w:rsidR="00A17770">
        <w:rPr>
          <w:rFonts w:cs="FrankRuehl" w:hint="cs"/>
          <w:sz w:val="32"/>
          <w:rtl/>
        </w:rPr>
        <w:t>הכרזה על עניין סודי), תשע"</w:t>
      </w:r>
      <w:r w:rsidR="008E53DD">
        <w:rPr>
          <w:rFonts w:cs="FrankRuehl" w:hint="cs"/>
          <w:sz w:val="32"/>
          <w:rtl/>
        </w:rPr>
        <w:t>ח</w:t>
      </w:r>
      <w:r w:rsidR="00A17770">
        <w:rPr>
          <w:rFonts w:cs="FrankRuehl" w:hint="cs"/>
          <w:sz w:val="32"/>
          <w:rtl/>
        </w:rPr>
        <w:t>-201</w:t>
      </w:r>
      <w:r w:rsidR="008E53DD">
        <w:rPr>
          <w:rFonts w:cs="FrankRuehl" w:hint="cs"/>
          <w:sz w:val="32"/>
          <w:rtl/>
        </w:rPr>
        <w:t>7</w:t>
      </w:r>
    </w:p>
    <w:p w14:paraId="390BB0F7" w14:textId="77777777" w:rsidR="00A17770" w:rsidRPr="00A17770" w:rsidRDefault="00A17770" w:rsidP="00A17770">
      <w:pPr>
        <w:spacing w:line="320" w:lineRule="auto"/>
        <w:jc w:val="left"/>
        <w:rPr>
          <w:rFonts w:cs="FrankRuehl"/>
          <w:szCs w:val="26"/>
          <w:rtl/>
        </w:rPr>
      </w:pPr>
    </w:p>
    <w:p w14:paraId="1090D5AA" w14:textId="77777777" w:rsidR="00A17770" w:rsidRDefault="00A17770" w:rsidP="00A17770">
      <w:pPr>
        <w:spacing w:line="320" w:lineRule="auto"/>
        <w:jc w:val="left"/>
        <w:rPr>
          <w:rtl/>
        </w:rPr>
      </w:pPr>
    </w:p>
    <w:p w14:paraId="1F619DBF" w14:textId="77777777" w:rsidR="00A17770" w:rsidRPr="00A17770" w:rsidRDefault="00A17770" w:rsidP="00A17770">
      <w:pPr>
        <w:spacing w:line="320" w:lineRule="auto"/>
        <w:jc w:val="left"/>
        <w:rPr>
          <w:rFonts w:cs="Miriam" w:hint="cs"/>
          <w:szCs w:val="22"/>
          <w:rtl/>
        </w:rPr>
      </w:pPr>
      <w:r w:rsidRPr="00A17770">
        <w:rPr>
          <w:rFonts w:cs="Miriam"/>
          <w:szCs w:val="22"/>
          <w:rtl/>
        </w:rPr>
        <w:t>עונשין ומשפט פלילי</w:t>
      </w:r>
      <w:r w:rsidRPr="00A17770">
        <w:rPr>
          <w:rFonts w:cs="FrankRuehl"/>
          <w:szCs w:val="26"/>
          <w:rtl/>
        </w:rPr>
        <w:t xml:space="preserve"> – עבירות – עבירות ביטחוניות</w:t>
      </w:r>
    </w:p>
    <w:p w14:paraId="7EED6AB2" w14:textId="77777777" w:rsidR="003D31B3" w:rsidRDefault="003D31B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753C" w:rsidRPr="0029753C" w14:paraId="292475F8" w14:textId="77777777" w:rsidTr="0029753C">
        <w:tblPrEx>
          <w:tblCellMar>
            <w:top w:w="0" w:type="dxa"/>
            <w:bottom w:w="0" w:type="dxa"/>
          </w:tblCellMar>
        </w:tblPrEx>
        <w:tc>
          <w:tcPr>
            <w:tcW w:w="1247" w:type="dxa"/>
          </w:tcPr>
          <w:p w14:paraId="75232559" w14:textId="77777777" w:rsidR="0029753C" w:rsidRPr="0029753C" w:rsidRDefault="0029753C" w:rsidP="0029753C">
            <w:pPr>
              <w:spacing w:line="240" w:lineRule="auto"/>
              <w:jc w:val="left"/>
              <w:rPr>
                <w:rFonts w:cs="Frankruhel"/>
                <w:sz w:val="24"/>
                <w:rtl/>
              </w:rPr>
            </w:pPr>
            <w:r>
              <w:rPr>
                <w:sz w:val="24"/>
                <w:rtl/>
              </w:rPr>
              <w:t xml:space="preserve">סעיף 1 </w:t>
            </w:r>
          </w:p>
        </w:tc>
        <w:tc>
          <w:tcPr>
            <w:tcW w:w="5669" w:type="dxa"/>
          </w:tcPr>
          <w:p w14:paraId="605CBCBE" w14:textId="77777777" w:rsidR="0029753C" w:rsidRPr="0029753C" w:rsidRDefault="0029753C" w:rsidP="0029753C">
            <w:pPr>
              <w:spacing w:line="240" w:lineRule="auto"/>
              <w:jc w:val="left"/>
              <w:rPr>
                <w:rFonts w:cs="Frankruhel"/>
                <w:sz w:val="24"/>
                <w:rtl/>
              </w:rPr>
            </w:pPr>
            <w:r>
              <w:rPr>
                <w:sz w:val="24"/>
                <w:rtl/>
              </w:rPr>
              <w:t>הגדרות</w:t>
            </w:r>
          </w:p>
        </w:tc>
        <w:tc>
          <w:tcPr>
            <w:tcW w:w="567" w:type="dxa"/>
          </w:tcPr>
          <w:p w14:paraId="60C1B723" w14:textId="77777777" w:rsidR="0029753C" w:rsidRPr="0029753C" w:rsidRDefault="0029753C" w:rsidP="0029753C">
            <w:pPr>
              <w:spacing w:line="240" w:lineRule="auto"/>
              <w:jc w:val="left"/>
              <w:rPr>
                <w:rStyle w:val="Hyperlink"/>
                <w:rtl/>
              </w:rPr>
            </w:pPr>
            <w:hyperlink w:anchor="Seif1" w:tooltip="הגדרות" w:history="1">
              <w:r w:rsidRPr="0029753C">
                <w:rPr>
                  <w:rStyle w:val="Hyperlink"/>
                </w:rPr>
                <w:t>Go</w:t>
              </w:r>
            </w:hyperlink>
          </w:p>
        </w:tc>
        <w:tc>
          <w:tcPr>
            <w:tcW w:w="850" w:type="dxa"/>
          </w:tcPr>
          <w:p w14:paraId="029BAC0F" w14:textId="77777777" w:rsidR="0029753C" w:rsidRPr="0029753C" w:rsidRDefault="0029753C" w:rsidP="0029753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753C" w:rsidRPr="0029753C" w14:paraId="2E432586" w14:textId="77777777" w:rsidTr="0029753C">
        <w:tblPrEx>
          <w:tblCellMar>
            <w:top w:w="0" w:type="dxa"/>
            <w:bottom w:w="0" w:type="dxa"/>
          </w:tblCellMar>
        </w:tblPrEx>
        <w:tc>
          <w:tcPr>
            <w:tcW w:w="1247" w:type="dxa"/>
          </w:tcPr>
          <w:p w14:paraId="76CE7F9D" w14:textId="77777777" w:rsidR="0029753C" w:rsidRPr="0029753C" w:rsidRDefault="0029753C" w:rsidP="0029753C">
            <w:pPr>
              <w:spacing w:line="240" w:lineRule="auto"/>
              <w:jc w:val="left"/>
              <w:rPr>
                <w:rFonts w:cs="Frankruhel"/>
                <w:sz w:val="24"/>
                <w:rtl/>
              </w:rPr>
            </w:pPr>
            <w:r>
              <w:rPr>
                <w:sz w:val="24"/>
                <w:rtl/>
              </w:rPr>
              <w:t xml:space="preserve">סעיף 2 </w:t>
            </w:r>
          </w:p>
        </w:tc>
        <w:tc>
          <w:tcPr>
            <w:tcW w:w="5669" w:type="dxa"/>
          </w:tcPr>
          <w:p w14:paraId="6B0296AE" w14:textId="77777777" w:rsidR="0029753C" w:rsidRPr="0029753C" w:rsidRDefault="0029753C" w:rsidP="0029753C">
            <w:pPr>
              <w:spacing w:line="240" w:lineRule="auto"/>
              <w:jc w:val="left"/>
              <w:rPr>
                <w:rFonts w:cs="Frankruhel"/>
                <w:sz w:val="24"/>
                <w:rtl/>
              </w:rPr>
            </w:pPr>
            <w:r>
              <w:rPr>
                <w:sz w:val="24"/>
                <w:rtl/>
              </w:rPr>
              <w:t>עניין סודי</w:t>
            </w:r>
          </w:p>
        </w:tc>
        <w:tc>
          <w:tcPr>
            <w:tcW w:w="567" w:type="dxa"/>
          </w:tcPr>
          <w:p w14:paraId="5D5B79BC" w14:textId="77777777" w:rsidR="0029753C" w:rsidRPr="0029753C" w:rsidRDefault="0029753C" w:rsidP="0029753C">
            <w:pPr>
              <w:spacing w:line="240" w:lineRule="auto"/>
              <w:jc w:val="left"/>
              <w:rPr>
                <w:rStyle w:val="Hyperlink"/>
                <w:rtl/>
              </w:rPr>
            </w:pPr>
            <w:hyperlink w:anchor="Seif2" w:tooltip="עניין סודי" w:history="1">
              <w:r w:rsidRPr="0029753C">
                <w:rPr>
                  <w:rStyle w:val="Hyperlink"/>
                </w:rPr>
                <w:t>Go</w:t>
              </w:r>
            </w:hyperlink>
          </w:p>
        </w:tc>
        <w:tc>
          <w:tcPr>
            <w:tcW w:w="850" w:type="dxa"/>
          </w:tcPr>
          <w:p w14:paraId="195A0A20" w14:textId="77777777" w:rsidR="0029753C" w:rsidRPr="0029753C" w:rsidRDefault="0029753C" w:rsidP="0029753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753C" w:rsidRPr="0029753C" w14:paraId="470E1DB4" w14:textId="77777777" w:rsidTr="0029753C">
        <w:tblPrEx>
          <w:tblCellMar>
            <w:top w:w="0" w:type="dxa"/>
            <w:bottom w:w="0" w:type="dxa"/>
          </w:tblCellMar>
        </w:tblPrEx>
        <w:tc>
          <w:tcPr>
            <w:tcW w:w="1247" w:type="dxa"/>
          </w:tcPr>
          <w:p w14:paraId="61034C7C" w14:textId="77777777" w:rsidR="0029753C" w:rsidRPr="0029753C" w:rsidRDefault="0029753C" w:rsidP="0029753C">
            <w:pPr>
              <w:spacing w:line="240" w:lineRule="auto"/>
              <w:jc w:val="left"/>
              <w:rPr>
                <w:rFonts w:cs="Frankruhel"/>
                <w:sz w:val="24"/>
                <w:rtl/>
              </w:rPr>
            </w:pPr>
            <w:r>
              <w:rPr>
                <w:sz w:val="24"/>
                <w:rtl/>
              </w:rPr>
              <w:t xml:space="preserve">סעיף 3 </w:t>
            </w:r>
          </w:p>
        </w:tc>
        <w:tc>
          <w:tcPr>
            <w:tcW w:w="5669" w:type="dxa"/>
          </w:tcPr>
          <w:p w14:paraId="569A23D6" w14:textId="77777777" w:rsidR="0029753C" w:rsidRPr="0029753C" w:rsidRDefault="0029753C" w:rsidP="0029753C">
            <w:pPr>
              <w:spacing w:line="240" w:lineRule="auto"/>
              <w:jc w:val="left"/>
              <w:rPr>
                <w:rFonts w:cs="Frankruhel"/>
                <w:sz w:val="24"/>
                <w:rtl/>
              </w:rPr>
            </w:pPr>
            <w:r>
              <w:rPr>
                <w:sz w:val="24"/>
                <w:rtl/>
              </w:rPr>
              <w:t>סייגים</w:t>
            </w:r>
          </w:p>
        </w:tc>
        <w:tc>
          <w:tcPr>
            <w:tcW w:w="567" w:type="dxa"/>
          </w:tcPr>
          <w:p w14:paraId="725DAD12" w14:textId="77777777" w:rsidR="0029753C" w:rsidRPr="0029753C" w:rsidRDefault="0029753C" w:rsidP="0029753C">
            <w:pPr>
              <w:spacing w:line="240" w:lineRule="auto"/>
              <w:jc w:val="left"/>
              <w:rPr>
                <w:rStyle w:val="Hyperlink"/>
                <w:rtl/>
              </w:rPr>
            </w:pPr>
            <w:hyperlink w:anchor="Seif3" w:tooltip="סייגים" w:history="1">
              <w:r w:rsidRPr="0029753C">
                <w:rPr>
                  <w:rStyle w:val="Hyperlink"/>
                </w:rPr>
                <w:t>Go</w:t>
              </w:r>
            </w:hyperlink>
          </w:p>
        </w:tc>
        <w:tc>
          <w:tcPr>
            <w:tcW w:w="850" w:type="dxa"/>
          </w:tcPr>
          <w:p w14:paraId="0EC56DB3" w14:textId="77777777" w:rsidR="0029753C" w:rsidRPr="0029753C" w:rsidRDefault="0029753C" w:rsidP="0029753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9753C" w:rsidRPr="0029753C" w14:paraId="65A995C0" w14:textId="77777777" w:rsidTr="0029753C">
        <w:tblPrEx>
          <w:tblCellMar>
            <w:top w:w="0" w:type="dxa"/>
            <w:bottom w:w="0" w:type="dxa"/>
          </w:tblCellMar>
        </w:tblPrEx>
        <w:tc>
          <w:tcPr>
            <w:tcW w:w="1247" w:type="dxa"/>
          </w:tcPr>
          <w:p w14:paraId="03966CA5" w14:textId="77777777" w:rsidR="0029753C" w:rsidRPr="0029753C" w:rsidRDefault="0029753C" w:rsidP="0029753C">
            <w:pPr>
              <w:spacing w:line="240" w:lineRule="auto"/>
              <w:jc w:val="left"/>
              <w:rPr>
                <w:rFonts w:cs="Frankruhel"/>
                <w:sz w:val="24"/>
                <w:rtl/>
              </w:rPr>
            </w:pPr>
            <w:r>
              <w:rPr>
                <w:sz w:val="24"/>
                <w:rtl/>
              </w:rPr>
              <w:t xml:space="preserve">סעיף 4 </w:t>
            </w:r>
          </w:p>
        </w:tc>
        <w:tc>
          <w:tcPr>
            <w:tcW w:w="5669" w:type="dxa"/>
          </w:tcPr>
          <w:p w14:paraId="3CD298C9" w14:textId="77777777" w:rsidR="0029753C" w:rsidRPr="0029753C" w:rsidRDefault="0029753C" w:rsidP="0029753C">
            <w:pPr>
              <w:spacing w:line="240" w:lineRule="auto"/>
              <w:jc w:val="left"/>
              <w:rPr>
                <w:rFonts w:cs="Frankruhel"/>
                <w:sz w:val="24"/>
                <w:rtl/>
              </w:rPr>
            </w:pPr>
            <w:r>
              <w:rPr>
                <w:sz w:val="24"/>
                <w:rtl/>
              </w:rPr>
              <w:t>שמירת סמכויות</w:t>
            </w:r>
          </w:p>
        </w:tc>
        <w:tc>
          <w:tcPr>
            <w:tcW w:w="567" w:type="dxa"/>
          </w:tcPr>
          <w:p w14:paraId="763C1C40" w14:textId="77777777" w:rsidR="0029753C" w:rsidRPr="0029753C" w:rsidRDefault="0029753C" w:rsidP="0029753C">
            <w:pPr>
              <w:spacing w:line="240" w:lineRule="auto"/>
              <w:jc w:val="left"/>
              <w:rPr>
                <w:rStyle w:val="Hyperlink"/>
                <w:rtl/>
              </w:rPr>
            </w:pPr>
            <w:hyperlink w:anchor="Seif4" w:tooltip="שמירת סמכויות" w:history="1">
              <w:r w:rsidRPr="0029753C">
                <w:rPr>
                  <w:rStyle w:val="Hyperlink"/>
                </w:rPr>
                <w:t>Go</w:t>
              </w:r>
            </w:hyperlink>
          </w:p>
        </w:tc>
        <w:tc>
          <w:tcPr>
            <w:tcW w:w="850" w:type="dxa"/>
          </w:tcPr>
          <w:p w14:paraId="7B14BD28" w14:textId="77777777" w:rsidR="0029753C" w:rsidRPr="0029753C" w:rsidRDefault="0029753C" w:rsidP="0029753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35E2C815" w14:textId="77777777" w:rsidR="003D31B3" w:rsidRDefault="003D31B3">
      <w:pPr>
        <w:pStyle w:val="big-header"/>
        <w:ind w:left="0" w:right="1134"/>
        <w:rPr>
          <w:rFonts w:cs="FrankRuehl"/>
          <w:sz w:val="32"/>
          <w:rtl/>
        </w:rPr>
      </w:pPr>
    </w:p>
    <w:p w14:paraId="5822A598" w14:textId="77777777" w:rsidR="003D31B3" w:rsidRDefault="003D31B3" w:rsidP="00A17770">
      <w:pPr>
        <w:pStyle w:val="big-header"/>
        <w:ind w:left="0" w:right="1134"/>
        <w:rPr>
          <w:rStyle w:val="default"/>
          <w:rFonts w:cs="FrankRuehl" w:hint="cs"/>
          <w:rtl/>
        </w:rPr>
      </w:pPr>
      <w:r>
        <w:rPr>
          <w:rtl/>
        </w:rPr>
        <w:br w:type="page"/>
      </w:r>
      <w:r w:rsidR="008E53DD">
        <w:rPr>
          <w:rFonts w:cs="FrankRuehl"/>
          <w:sz w:val="32"/>
          <w:rtl/>
        </w:rPr>
        <w:lastRenderedPageBreak/>
        <w:t>צו העונשין (</w:t>
      </w:r>
      <w:r w:rsidR="008E53DD">
        <w:rPr>
          <w:rFonts w:cs="FrankRuehl" w:hint="cs"/>
          <w:sz w:val="32"/>
          <w:rtl/>
        </w:rPr>
        <w:t>הכרזה על עניין סודי), תשע"ח-2017</w:t>
      </w:r>
      <w:r>
        <w:rPr>
          <w:rStyle w:val="default"/>
          <w:rtl/>
        </w:rPr>
        <w:footnoteReference w:customMarkFollows="1" w:id="1"/>
        <w:t>*</w:t>
      </w:r>
    </w:p>
    <w:p w14:paraId="44379B80" w14:textId="77777777" w:rsidR="003D31B3" w:rsidRDefault="00A17770" w:rsidP="00A17770">
      <w:pPr>
        <w:pStyle w:val="P00"/>
        <w:spacing w:before="72"/>
        <w:ind w:left="0" w:right="1134"/>
        <w:rPr>
          <w:rStyle w:val="default"/>
          <w:rFonts w:cs="FrankRuehl"/>
          <w:rtl/>
        </w:rPr>
      </w:pPr>
      <w:r>
        <w:rPr>
          <w:rStyle w:val="default"/>
          <w:rFonts w:cs="FrankRuehl" w:hint="cs"/>
          <w:rtl/>
        </w:rPr>
        <w:tab/>
      </w:r>
      <w:r w:rsidR="003D31B3">
        <w:rPr>
          <w:rStyle w:val="default"/>
          <w:rFonts w:cs="FrankRuehl"/>
          <w:rtl/>
        </w:rPr>
        <w:t>בת</w:t>
      </w:r>
      <w:r>
        <w:rPr>
          <w:rStyle w:val="default"/>
          <w:rFonts w:cs="FrankRuehl" w:hint="cs"/>
          <w:rtl/>
        </w:rPr>
        <w:t>וקף סמכותה</w:t>
      </w:r>
      <w:r w:rsidR="003D31B3">
        <w:rPr>
          <w:rStyle w:val="default"/>
          <w:rFonts w:cs="FrankRuehl" w:hint="cs"/>
          <w:rtl/>
        </w:rPr>
        <w:t xml:space="preserve"> לפי סעיף </w:t>
      </w:r>
      <w:r>
        <w:rPr>
          <w:rStyle w:val="default"/>
          <w:rFonts w:cs="FrankRuehl" w:hint="cs"/>
          <w:rtl/>
        </w:rPr>
        <w:t>113(ד)</w:t>
      </w:r>
      <w:r w:rsidR="003D31B3">
        <w:rPr>
          <w:rStyle w:val="default"/>
          <w:rFonts w:cs="FrankRuehl" w:hint="cs"/>
          <w:rtl/>
        </w:rPr>
        <w:t xml:space="preserve"> לחוק העונשין,</w:t>
      </w:r>
      <w:r w:rsidR="003D31B3">
        <w:rPr>
          <w:rStyle w:val="default"/>
          <w:rFonts w:cs="FrankRuehl"/>
          <w:rtl/>
        </w:rPr>
        <w:t xml:space="preserve"> </w:t>
      </w:r>
      <w:r>
        <w:rPr>
          <w:rStyle w:val="default"/>
          <w:rFonts w:cs="FrankRuehl" w:hint="cs"/>
          <w:rtl/>
        </w:rPr>
        <w:t>ה</w:t>
      </w:r>
      <w:r w:rsidR="003D31B3">
        <w:rPr>
          <w:rStyle w:val="default"/>
          <w:rFonts w:cs="FrankRuehl"/>
          <w:rtl/>
        </w:rPr>
        <w:t>ת</w:t>
      </w:r>
      <w:r w:rsidR="003D31B3">
        <w:rPr>
          <w:rStyle w:val="default"/>
          <w:rFonts w:cs="FrankRuehl" w:hint="cs"/>
          <w:rtl/>
        </w:rPr>
        <w:t>של"</w:t>
      </w:r>
      <w:r>
        <w:rPr>
          <w:rStyle w:val="default"/>
          <w:rFonts w:cs="FrankRuehl" w:hint="cs"/>
          <w:rtl/>
        </w:rPr>
        <w:t>ז</w:t>
      </w:r>
      <w:r w:rsidR="003D31B3">
        <w:rPr>
          <w:rStyle w:val="default"/>
          <w:rFonts w:cs="FrankRuehl" w:hint="cs"/>
          <w:rtl/>
        </w:rPr>
        <w:t>-</w:t>
      </w:r>
      <w:r w:rsidR="003D31B3">
        <w:rPr>
          <w:rStyle w:val="default"/>
          <w:rFonts w:cs="FrankRuehl"/>
          <w:rtl/>
        </w:rPr>
        <w:t>197</w:t>
      </w:r>
      <w:r>
        <w:rPr>
          <w:rStyle w:val="default"/>
          <w:rFonts w:cs="FrankRuehl" w:hint="cs"/>
          <w:rtl/>
        </w:rPr>
        <w:t xml:space="preserve">7 (להלן </w:t>
      </w:r>
      <w:r>
        <w:rPr>
          <w:rStyle w:val="default"/>
          <w:rFonts w:cs="FrankRuehl"/>
          <w:rtl/>
        </w:rPr>
        <w:t>–</w:t>
      </w:r>
      <w:r>
        <w:rPr>
          <w:rStyle w:val="default"/>
          <w:rFonts w:cs="FrankRuehl" w:hint="cs"/>
          <w:rtl/>
        </w:rPr>
        <w:t xml:space="preserve"> החוק)</w:t>
      </w:r>
      <w:r w:rsidR="003D31B3">
        <w:rPr>
          <w:rStyle w:val="default"/>
          <w:rFonts w:cs="FrankRuehl"/>
          <w:rtl/>
        </w:rPr>
        <w:t xml:space="preserve">, </w:t>
      </w:r>
      <w:r>
        <w:rPr>
          <w:rStyle w:val="default"/>
          <w:rFonts w:cs="FrankRuehl" w:hint="cs"/>
          <w:rtl/>
        </w:rPr>
        <w:t>ובאישור ועדת החוץ והביטחון של הכנסת</w:t>
      </w:r>
      <w:r w:rsidR="003D31B3">
        <w:rPr>
          <w:rStyle w:val="default"/>
          <w:rFonts w:cs="FrankRuehl" w:hint="cs"/>
          <w:rtl/>
        </w:rPr>
        <w:t xml:space="preserve">, מצווה </w:t>
      </w:r>
      <w:r>
        <w:rPr>
          <w:rStyle w:val="default"/>
          <w:rFonts w:cs="FrankRuehl" w:hint="cs"/>
          <w:rtl/>
        </w:rPr>
        <w:t xml:space="preserve">הממשלה </w:t>
      </w:r>
      <w:r w:rsidR="003D31B3">
        <w:rPr>
          <w:rStyle w:val="default"/>
          <w:rFonts w:cs="FrankRuehl" w:hint="cs"/>
          <w:rtl/>
        </w:rPr>
        <w:t>לאמור:</w:t>
      </w:r>
    </w:p>
    <w:p w14:paraId="24554AD4" w14:textId="77777777" w:rsidR="003D31B3" w:rsidRDefault="003D31B3" w:rsidP="00A17770">
      <w:pPr>
        <w:pStyle w:val="P00"/>
        <w:spacing w:before="72"/>
        <w:ind w:left="0" w:right="1134"/>
        <w:rPr>
          <w:rStyle w:val="default"/>
          <w:rFonts w:cs="FrankRuehl"/>
          <w:rtl/>
        </w:rPr>
      </w:pPr>
      <w:bookmarkStart w:id="0" w:name="Seif1"/>
      <w:bookmarkEnd w:id="0"/>
      <w:r>
        <w:rPr>
          <w:lang w:val="he-IL"/>
        </w:rPr>
        <w:pict w14:anchorId="7095D35C">
          <v:rect id="_x0000_s1026" style="position:absolute;left:0;text-align:left;margin-left:464.5pt;margin-top:8.05pt;width:75.05pt;height:12.7pt;z-index:251656192" o:allowincell="f" filled="f" stroked="f" strokecolor="lime" strokeweight=".25pt">
            <v:textbox style="mso-next-textbox:#_x0000_s1026" inset="0,0,0,0">
              <w:txbxContent>
                <w:p w14:paraId="3206E39C" w14:textId="77777777" w:rsidR="003D31B3" w:rsidRDefault="008E53DD">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A17770">
        <w:rPr>
          <w:rStyle w:val="default"/>
          <w:rFonts w:cs="FrankRuehl"/>
          <w:rtl/>
        </w:rPr>
        <w:t>.</w:t>
      </w:r>
      <w:r w:rsidRPr="00A17770">
        <w:rPr>
          <w:rStyle w:val="default"/>
          <w:rFonts w:cs="FrankRuehl"/>
          <w:rtl/>
        </w:rPr>
        <w:tab/>
      </w:r>
      <w:r w:rsidR="008E53DD">
        <w:rPr>
          <w:rStyle w:val="default"/>
          <w:rFonts w:cs="FrankRuehl" w:hint="cs"/>
          <w:rtl/>
        </w:rPr>
        <w:t xml:space="preserve">בצו זה </w:t>
      </w:r>
      <w:r w:rsidR="008E53DD">
        <w:rPr>
          <w:rStyle w:val="default"/>
          <w:rFonts w:cs="FrankRuehl"/>
          <w:rtl/>
        </w:rPr>
        <w:t>–</w:t>
      </w:r>
    </w:p>
    <w:p w14:paraId="77246BDF" w14:textId="77777777" w:rsidR="008E53DD" w:rsidRDefault="008E53DD" w:rsidP="00A1777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"המוסד" </w:t>
      </w:r>
      <w:r>
        <w:rPr>
          <w:rStyle w:val="default"/>
          <w:rFonts w:cs="FrankRuehl"/>
          <w:rtl/>
        </w:rPr>
        <w:t>–</w:t>
      </w:r>
      <w:r>
        <w:rPr>
          <w:rStyle w:val="default"/>
          <w:rFonts w:cs="FrankRuehl" w:hint="cs"/>
          <w:rtl/>
        </w:rPr>
        <w:t xml:space="preserve"> המוסד למודיעין ולתפקידים מיוחדים;</w:t>
      </w:r>
    </w:p>
    <w:p w14:paraId="4B4B4771" w14:textId="77777777" w:rsidR="008E53DD" w:rsidRDefault="008E53DD" w:rsidP="00A177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"הפועל מטעמו של המוסד" </w:t>
      </w:r>
      <w:r>
        <w:rPr>
          <w:rStyle w:val="default"/>
          <w:rFonts w:cs="FrankRuehl"/>
          <w:rtl/>
        </w:rPr>
        <w:t>–</w:t>
      </w:r>
      <w:r>
        <w:rPr>
          <w:rStyle w:val="default"/>
          <w:rFonts w:cs="FrankRuehl" w:hint="cs"/>
          <w:rtl/>
        </w:rPr>
        <w:t xml:space="preserve"> כל אחד מאלה:</w:t>
      </w:r>
    </w:p>
    <w:p w14:paraId="22009697" w14:textId="77777777" w:rsidR="008E53DD" w:rsidRDefault="008E53DD" w:rsidP="008E53DD">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חייל כהגדרתו בחוק השיפוט הצבאי, התשט"ו-1955, או המשרת בשירות לאומי-אזרחי כהגדרתו בחוק שירות לאומי-אזרחי, התשע"ד-2014, או בשירות לאומי או התנדבות קהילתית, כהגדרתם בחוק שירות אזרחי, התשע"ז-2017, המוצבים במוסד;</w:t>
      </w:r>
    </w:p>
    <w:p w14:paraId="0B9DDED9" w14:textId="77777777" w:rsidR="008E53DD" w:rsidRDefault="008E53DD" w:rsidP="008E53DD">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אדם המסייע למוסד;</w:t>
      </w:r>
    </w:p>
    <w:p w14:paraId="427AE2F4" w14:textId="77777777" w:rsidR="008E53DD" w:rsidRDefault="008E53DD" w:rsidP="008E53DD">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עובד קבלן או מי שמספק למוסד שירותים על פי הסכם התקשרות עם המוסד;</w:t>
      </w:r>
    </w:p>
    <w:p w14:paraId="7F618659" w14:textId="77777777" w:rsidR="008E53DD" w:rsidRDefault="008E53DD" w:rsidP="00A1777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"הצנזור" </w:t>
      </w:r>
      <w:r>
        <w:rPr>
          <w:rStyle w:val="default"/>
          <w:rFonts w:cs="FrankRuehl"/>
          <w:rtl/>
        </w:rPr>
        <w:t>–</w:t>
      </w:r>
      <w:r>
        <w:rPr>
          <w:rStyle w:val="default"/>
          <w:rFonts w:cs="FrankRuehl" w:hint="cs"/>
          <w:rtl/>
        </w:rPr>
        <w:t xml:space="preserve"> כמשמעותו בתקנות ההגנה;</w:t>
      </w:r>
    </w:p>
    <w:p w14:paraId="5B6C111F" w14:textId="77777777" w:rsidR="008E53DD" w:rsidRDefault="008E53DD" w:rsidP="00A1777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"הקצין המוסמך של המוסד" </w:t>
      </w:r>
      <w:r>
        <w:rPr>
          <w:rStyle w:val="default"/>
          <w:rFonts w:cs="FrankRuehl"/>
          <w:rtl/>
        </w:rPr>
        <w:t>–</w:t>
      </w:r>
      <w:r>
        <w:rPr>
          <w:rStyle w:val="default"/>
          <w:rFonts w:cs="FrankRuehl" w:hint="cs"/>
          <w:rtl/>
        </w:rPr>
        <w:t xml:space="preserve"> מי שהוסמך לפי סעיף 21א(א)(1) לחוק להסדרת הביטחון בגופים ציבוריים, התשנ"ח-1998;</w:t>
      </w:r>
    </w:p>
    <w:p w14:paraId="5BD9B7CA" w14:textId="77777777" w:rsidR="008E53DD" w:rsidRDefault="008E53DD" w:rsidP="00A1777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ההגנה" </w:t>
      </w:r>
      <w:r>
        <w:rPr>
          <w:rStyle w:val="default"/>
          <w:rFonts w:cs="FrankRuehl"/>
          <w:rtl/>
        </w:rPr>
        <w:t>–</w:t>
      </w:r>
      <w:r>
        <w:rPr>
          <w:rStyle w:val="default"/>
          <w:rFonts w:cs="FrankRuehl" w:hint="cs"/>
          <w:rtl/>
        </w:rPr>
        <w:t xml:space="preserve"> תקנות ההגנה (שעת חירום), 1945.</w:t>
      </w:r>
    </w:p>
    <w:p w14:paraId="4A6C9EF1" w14:textId="77777777" w:rsidR="003D31B3" w:rsidRDefault="003D31B3" w:rsidP="00DC20ED">
      <w:pPr>
        <w:pStyle w:val="P00"/>
        <w:spacing w:before="72"/>
        <w:ind w:left="0" w:right="1134"/>
        <w:rPr>
          <w:rStyle w:val="default"/>
          <w:rFonts w:cs="FrankRuehl"/>
          <w:rtl/>
        </w:rPr>
      </w:pPr>
      <w:bookmarkStart w:id="1" w:name="Seif2"/>
      <w:bookmarkEnd w:id="1"/>
      <w:r>
        <w:rPr>
          <w:lang w:val="he-IL"/>
        </w:rPr>
        <w:pict w14:anchorId="3EDA56D9">
          <v:rect id="_x0000_s1027" style="position:absolute;left:0;text-align:left;margin-left:464.5pt;margin-top:8.05pt;width:75.05pt;height:13.4pt;z-index:251657216" o:allowincell="f" filled="f" stroked="f" strokecolor="lime" strokeweight=".25pt">
            <v:textbox style="mso-next-textbox:#_x0000_s1027" inset="0,0,0,0">
              <w:txbxContent>
                <w:p w14:paraId="10DF2C09" w14:textId="77777777" w:rsidR="003D31B3" w:rsidRDefault="008E53DD">
                  <w:pPr>
                    <w:spacing w:line="160" w:lineRule="exact"/>
                    <w:jc w:val="left"/>
                    <w:rPr>
                      <w:rFonts w:cs="Miriam"/>
                      <w:noProof/>
                      <w:sz w:val="18"/>
                      <w:szCs w:val="18"/>
                      <w:rtl/>
                    </w:rPr>
                  </w:pPr>
                  <w:r>
                    <w:rPr>
                      <w:rFonts w:cs="Miriam" w:hint="cs"/>
                      <w:sz w:val="18"/>
                      <w:szCs w:val="18"/>
                      <w:rtl/>
                    </w:rPr>
                    <w:t>עניין סודי</w:t>
                  </w:r>
                </w:p>
              </w:txbxContent>
            </v:textbox>
            <w10:anchorlock/>
          </v:rect>
        </w:pict>
      </w:r>
      <w:r>
        <w:rPr>
          <w:rStyle w:val="big-number"/>
          <w:rFonts w:cs="Miriam"/>
          <w:rtl/>
        </w:rPr>
        <w:t>2.</w:t>
      </w:r>
      <w:r w:rsidRPr="00DC20ED">
        <w:rPr>
          <w:rStyle w:val="default"/>
          <w:rFonts w:cs="FrankRuehl"/>
          <w:rtl/>
        </w:rPr>
        <w:tab/>
      </w:r>
      <w:r w:rsidR="008E53DD">
        <w:rPr>
          <w:rStyle w:val="default"/>
          <w:rFonts w:cs="FrankRuehl" w:hint="cs"/>
          <w:rtl/>
        </w:rPr>
        <w:t>ידיעה הנוגעת לפרטים שלהלן מוכרזת בזה עניין סודי לפי סעיף 113(ד) לחוק:</w:t>
      </w:r>
    </w:p>
    <w:p w14:paraId="441A663B" w14:textId="77777777" w:rsidR="008E53DD" w:rsidRDefault="008E53DD" w:rsidP="008E53DD">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פרטיו האישיים, מקום מגוריו, או כל פרט זיהוי אחר של עובד המוסד או הפועל מטעמו של המוסד, בעבר או בהווה, והכול אם יש באחד מפרטים אלה כדי לזהותו כעובד המוסד או כמי שפעל או פועל מטעמו או בשבילו;</w:t>
      </w:r>
    </w:p>
    <w:p w14:paraId="43D0C7BD" w14:textId="77777777" w:rsidR="008E53DD" w:rsidRDefault="008E53DD" w:rsidP="008E53DD">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פרטיו האישיים, מקום מגוריו, או כל פרט זיהוי אחר של בן משפחתו של עובד המוסד, והכול אם יש באחד מפרטים אלה כדי לזהותו כבן משפחתו של עובד המוסד;</w:t>
      </w:r>
    </w:p>
    <w:p w14:paraId="3B8B837D" w14:textId="77777777" w:rsidR="008E53DD" w:rsidRDefault="008E53DD" w:rsidP="008E53D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זיהוים של מיתקנים ותשתיות המשמשים את המוסד, לרבות מיקומם, כתובתם ותכניותיהם הפנימיות.</w:t>
      </w:r>
    </w:p>
    <w:p w14:paraId="7240267A" w14:textId="77777777" w:rsidR="003D31B3" w:rsidRDefault="003D31B3" w:rsidP="00DC20ED">
      <w:pPr>
        <w:pStyle w:val="P00"/>
        <w:spacing w:before="72"/>
        <w:ind w:left="0" w:right="1134"/>
        <w:rPr>
          <w:rStyle w:val="default"/>
          <w:rFonts w:cs="FrankRuehl"/>
          <w:rtl/>
        </w:rPr>
      </w:pPr>
      <w:bookmarkStart w:id="2" w:name="Seif3"/>
      <w:bookmarkEnd w:id="2"/>
      <w:r>
        <w:rPr>
          <w:lang w:val="he-IL"/>
        </w:rPr>
        <w:pict w14:anchorId="5942A85C">
          <v:rect id="_x0000_s1028" style="position:absolute;left:0;text-align:left;margin-left:464.5pt;margin-top:8.05pt;width:75.05pt;height:11.05pt;z-index:251658240" o:allowincell="f" filled="f" stroked="f" strokecolor="lime" strokeweight=".25pt">
            <v:textbox style="mso-next-textbox:#_x0000_s1028" inset="0,0,0,0">
              <w:txbxContent>
                <w:p w14:paraId="5A6588B5" w14:textId="77777777" w:rsidR="003D31B3" w:rsidRDefault="008E53DD">
                  <w:pPr>
                    <w:spacing w:line="160" w:lineRule="exact"/>
                    <w:jc w:val="left"/>
                    <w:rPr>
                      <w:rFonts w:cs="Miriam" w:hint="cs"/>
                      <w:noProof/>
                      <w:sz w:val="18"/>
                      <w:szCs w:val="18"/>
                      <w:rtl/>
                    </w:rPr>
                  </w:pPr>
                  <w:r>
                    <w:rPr>
                      <w:rFonts w:cs="Miriam" w:hint="cs"/>
                      <w:sz w:val="18"/>
                      <w:szCs w:val="18"/>
                      <w:rtl/>
                    </w:rPr>
                    <w:t>סייגים</w:t>
                  </w:r>
                </w:p>
              </w:txbxContent>
            </v:textbox>
            <w10:anchorlock/>
          </v:rect>
        </w:pict>
      </w:r>
      <w:r>
        <w:rPr>
          <w:rStyle w:val="big-number"/>
          <w:rFonts w:cs="Miriam"/>
          <w:rtl/>
        </w:rPr>
        <w:t>3</w:t>
      </w:r>
      <w:r>
        <w:rPr>
          <w:rStyle w:val="default"/>
          <w:rFonts w:cs="FrankRuehl"/>
          <w:rtl/>
        </w:rPr>
        <w:t>.</w:t>
      </w:r>
      <w:r>
        <w:rPr>
          <w:rStyle w:val="default"/>
          <w:rFonts w:cs="FrankRuehl" w:hint="cs"/>
          <w:rtl/>
        </w:rPr>
        <w:tab/>
      </w:r>
      <w:r w:rsidR="008E53DD">
        <w:rPr>
          <w:rStyle w:val="default"/>
          <w:rFonts w:cs="FrankRuehl" w:hint="cs"/>
          <w:rtl/>
        </w:rPr>
        <w:t xml:space="preserve">על אף האמור בסעיף 2 </w:t>
      </w:r>
      <w:r w:rsidR="008E53DD">
        <w:rPr>
          <w:rStyle w:val="default"/>
          <w:rFonts w:cs="FrankRuehl"/>
          <w:rtl/>
        </w:rPr>
        <w:t>–</w:t>
      </w:r>
    </w:p>
    <w:p w14:paraId="22110EE2" w14:textId="77777777" w:rsidR="008E53DD" w:rsidRDefault="008E53DD" w:rsidP="008E53DD">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שמו של ראש המוסד, בהווה או בעבר, לא ייחשב עניין סודי;</w:t>
      </w:r>
    </w:p>
    <w:p w14:paraId="0374B19F" w14:textId="77777777" w:rsidR="008E53DD" w:rsidRDefault="008E53DD" w:rsidP="008E53DD">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ידיעה מסוימת הנוגעת לפרט האמור בסעיף 2, אשר ראש המוסד או הקצין המוסמך של המוסד קבע לגביה כי בנסיבות העניין ובתנאים שייקבעו על ידו, הסיבות שחייבו לשומרה בסוד אינן מתקיימות </w:t>
      </w:r>
      <w:r>
        <w:rPr>
          <w:rStyle w:val="default"/>
          <w:rFonts w:cs="FrankRuehl"/>
          <w:rtl/>
        </w:rPr>
        <w:t>–</w:t>
      </w:r>
      <w:r>
        <w:rPr>
          <w:rStyle w:val="default"/>
          <w:rFonts w:cs="FrankRuehl" w:hint="cs"/>
          <w:rtl/>
        </w:rPr>
        <w:t xml:space="preserve"> לא תיחשב עניין סודי באותן נסיבות ובאותם תנאים;</w:t>
      </w:r>
    </w:p>
    <w:p w14:paraId="2ECED91C" w14:textId="77777777" w:rsidR="008E53DD" w:rsidRPr="008E53DD" w:rsidRDefault="008E53DD" w:rsidP="008E53DD">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ידיעה מסוימת הנוגעת לפרט האמור בסעיף 2, אשר התבקש פרסומה, והצנזור סבר, לאחר שהתייעץ עם ראש המוסד או עם הקצין המוסמך של המוסד בהתאם לנוהל שייקבע לעניין זה בין שני הגופים, כי בנסיבות העניין הסיבות שחייבו לשומרה </w:t>
      </w:r>
      <w:r w:rsidR="002013A3">
        <w:rPr>
          <w:rStyle w:val="default"/>
          <w:rFonts w:cs="FrankRuehl" w:hint="cs"/>
          <w:rtl/>
        </w:rPr>
        <w:t xml:space="preserve">בסוד אינן מתקיימות וכי ניתן להתיר את פרסומה </w:t>
      </w:r>
      <w:r w:rsidR="002013A3">
        <w:rPr>
          <w:rStyle w:val="default"/>
          <w:rFonts w:cs="FrankRuehl"/>
          <w:rtl/>
        </w:rPr>
        <w:t>–</w:t>
      </w:r>
      <w:r w:rsidR="002013A3">
        <w:rPr>
          <w:rStyle w:val="default"/>
          <w:rFonts w:cs="FrankRuehl" w:hint="cs"/>
          <w:rtl/>
        </w:rPr>
        <w:t xml:space="preserve"> לא תיחשב עניין סודי.</w:t>
      </w:r>
    </w:p>
    <w:p w14:paraId="506BD16D" w14:textId="77777777" w:rsidR="008E53DD" w:rsidRDefault="008E53DD" w:rsidP="008E53DD">
      <w:pPr>
        <w:pStyle w:val="P00"/>
        <w:spacing w:before="72"/>
        <w:ind w:left="0" w:right="1134"/>
        <w:rPr>
          <w:rStyle w:val="default"/>
          <w:rFonts w:cs="FrankRuehl"/>
          <w:rtl/>
        </w:rPr>
      </w:pPr>
      <w:bookmarkStart w:id="3" w:name="Seif4"/>
      <w:bookmarkEnd w:id="3"/>
      <w:r>
        <w:rPr>
          <w:lang w:val="he-IL"/>
        </w:rPr>
        <w:pict w14:anchorId="6D41AFFB">
          <v:rect id="_x0000_s1029" style="position:absolute;left:0;text-align:left;margin-left:464.5pt;margin-top:8.05pt;width:75.05pt;height:11.05pt;z-index:251659264" o:allowincell="f" filled="f" stroked="f" strokecolor="lime" strokeweight=".25pt">
            <v:textbox style="mso-next-textbox:#_x0000_s1029" inset="0,0,0,0">
              <w:txbxContent>
                <w:p w14:paraId="4EAAB6CC" w14:textId="77777777" w:rsidR="008E53DD" w:rsidRDefault="002013A3" w:rsidP="008E53DD">
                  <w:pPr>
                    <w:spacing w:line="160" w:lineRule="exact"/>
                    <w:jc w:val="left"/>
                    <w:rPr>
                      <w:rFonts w:cs="Miriam" w:hint="cs"/>
                      <w:noProof/>
                      <w:sz w:val="18"/>
                      <w:szCs w:val="18"/>
                      <w:rtl/>
                    </w:rPr>
                  </w:pPr>
                  <w:r>
                    <w:rPr>
                      <w:rFonts w:cs="Miriam" w:hint="cs"/>
                      <w:sz w:val="18"/>
                      <w:szCs w:val="18"/>
                      <w:rtl/>
                    </w:rPr>
                    <w:t>שמירת סמכויות</w:t>
                  </w:r>
                </w:p>
              </w:txbxContent>
            </v:textbox>
            <w10:anchorlock/>
          </v:rect>
        </w:pict>
      </w:r>
      <w:r w:rsidR="002013A3">
        <w:rPr>
          <w:rStyle w:val="big-number"/>
          <w:rFonts w:cs="Miriam" w:hint="cs"/>
          <w:rtl/>
        </w:rPr>
        <w:t>4</w:t>
      </w:r>
      <w:r>
        <w:rPr>
          <w:rStyle w:val="default"/>
          <w:rFonts w:cs="FrankRuehl"/>
          <w:rtl/>
        </w:rPr>
        <w:t>.</w:t>
      </w:r>
      <w:r>
        <w:rPr>
          <w:rStyle w:val="default"/>
          <w:rFonts w:cs="FrankRuehl" w:hint="cs"/>
          <w:rtl/>
        </w:rPr>
        <w:tab/>
      </w:r>
      <w:r w:rsidR="002013A3">
        <w:rPr>
          <w:rStyle w:val="default"/>
          <w:rFonts w:cs="FrankRuehl" w:hint="cs"/>
          <w:rtl/>
        </w:rPr>
        <w:t>אין באמור בצו זה כדי לגרוע מסמכותו של הצנזור לפי תקנות ההגנה</w:t>
      </w:r>
      <w:r>
        <w:rPr>
          <w:rStyle w:val="default"/>
          <w:rFonts w:cs="FrankRuehl" w:hint="cs"/>
          <w:rtl/>
        </w:rPr>
        <w:t>.</w:t>
      </w:r>
    </w:p>
    <w:p w14:paraId="534E1CA9" w14:textId="77777777" w:rsidR="003D31B3" w:rsidRPr="008E53DD" w:rsidRDefault="003D31B3">
      <w:pPr>
        <w:pStyle w:val="P00"/>
        <w:spacing w:before="72"/>
        <w:ind w:left="0" w:right="1134"/>
        <w:rPr>
          <w:rStyle w:val="default"/>
          <w:rFonts w:cs="FrankRuehl"/>
          <w:rtl/>
        </w:rPr>
      </w:pPr>
    </w:p>
    <w:p w14:paraId="76AE65F8" w14:textId="77777777" w:rsidR="003D31B3" w:rsidRPr="008E53DD" w:rsidRDefault="003D31B3">
      <w:pPr>
        <w:pStyle w:val="P00"/>
        <w:spacing w:before="72"/>
        <w:ind w:left="0" w:right="1134"/>
        <w:rPr>
          <w:rStyle w:val="default"/>
          <w:rFonts w:cs="FrankRuehl"/>
          <w:rtl/>
        </w:rPr>
      </w:pPr>
    </w:p>
    <w:p w14:paraId="1B8ACE7C" w14:textId="77777777" w:rsidR="003D31B3" w:rsidRDefault="002013A3" w:rsidP="00DC20E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6"/>
          <w:rtl/>
        </w:rPr>
      </w:pPr>
      <w:r>
        <w:rPr>
          <w:rFonts w:cs="FrankRuehl" w:hint="cs"/>
          <w:sz w:val="26"/>
          <w:rtl/>
        </w:rPr>
        <w:t xml:space="preserve">כ"ה </w:t>
      </w:r>
      <w:r w:rsidR="00DC20ED">
        <w:rPr>
          <w:rFonts w:cs="FrankRuehl" w:hint="cs"/>
          <w:sz w:val="26"/>
          <w:rtl/>
        </w:rPr>
        <w:t>בתשרי התשע"</w:t>
      </w:r>
      <w:r>
        <w:rPr>
          <w:rFonts w:cs="FrankRuehl" w:hint="cs"/>
          <w:sz w:val="26"/>
          <w:rtl/>
        </w:rPr>
        <w:t>ח</w:t>
      </w:r>
      <w:r w:rsidR="00DC20ED">
        <w:rPr>
          <w:rFonts w:cs="FrankRuehl" w:hint="cs"/>
          <w:sz w:val="26"/>
          <w:rtl/>
        </w:rPr>
        <w:t xml:space="preserve"> (</w:t>
      </w:r>
      <w:r>
        <w:rPr>
          <w:rFonts w:cs="FrankRuehl" w:hint="cs"/>
          <w:sz w:val="26"/>
          <w:rtl/>
        </w:rPr>
        <w:t>15 באוקטובר 2017</w:t>
      </w:r>
      <w:r w:rsidR="003D31B3">
        <w:rPr>
          <w:rFonts w:cs="FrankRuehl" w:hint="cs"/>
          <w:sz w:val="26"/>
          <w:rtl/>
        </w:rPr>
        <w:t>)</w:t>
      </w:r>
      <w:r w:rsidR="003D31B3">
        <w:rPr>
          <w:rFonts w:cs="FrankRuehl" w:hint="cs"/>
          <w:sz w:val="26"/>
          <w:rtl/>
        </w:rPr>
        <w:tab/>
      </w:r>
      <w:r w:rsidR="00DC20ED">
        <w:rPr>
          <w:rFonts w:cs="FrankRuehl" w:hint="cs"/>
          <w:sz w:val="26"/>
          <w:rtl/>
        </w:rPr>
        <w:t>בנימין נתניהו</w:t>
      </w:r>
    </w:p>
    <w:p w14:paraId="37203A66" w14:textId="77777777" w:rsidR="003D31B3" w:rsidRDefault="003D31B3" w:rsidP="00DC20ED">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cs="FrankRuehl" w:hint="cs"/>
          <w:sz w:val="22"/>
          <w:szCs w:val="22"/>
          <w:rtl/>
        </w:rPr>
      </w:pPr>
      <w:r>
        <w:rPr>
          <w:rFonts w:cs="FrankRuehl" w:hint="cs"/>
          <w:sz w:val="22"/>
          <w:szCs w:val="22"/>
          <w:rtl/>
        </w:rPr>
        <w:tab/>
      </w:r>
      <w:r w:rsidR="00DC20ED">
        <w:rPr>
          <w:rFonts w:cs="FrankRuehl" w:hint="cs"/>
          <w:sz w:val="22"/>
          <w:szCs w:val="22"/>
          <w:rtl/>
        </w:rPr>
        <w:t>ראש הממשלה</w:t>
      </w:r>
    </w:p>
    <w:p w14:paraId="6A6D1C3D" w14:textId="77777777" w:rsidR="008E53DD" w:rsidRPr="008E53DD" w:rsidRDefault="008E53DD">
      <w:pPr>
        <w:pStyle w:val="P00"/>
        <w:spacing w:before="72"/>
        <w:ind w:left="0" w:right="1134"/>
        <w:rPr>
          <w:rStyle w:val="default"/>
          <w:rFonts w:cs="FrankRuehl" w:hint="cs"/>
          <w:rtl/>
        </w:rPr>
      </w:pPr>
    </w:p>
    <w:p w14:paraId="76E15169" w14:textId="77777777" w:rsidR="003D31B3" w:rsidRPr="008E53DD" w:rsidRDefault="003D31B3">
      <w:pPr>
        <w:pStyle w:val="P00"/>
        <w:spacing w:before="72"/>
        <w:ind w:left="0" w:right="1134"/>
        <w:rPr>
          <w:rStyle w:val="default"/>
          <w:rFonts w:cs="FrankRuehl"/>
          <w:rtl/>
        </w:rPr>
      </w:pPr>
    </w:p>
    <w:p w14:paraId="3CFD0FA6" w14:textId="77777777" w:rsidR="003D31B3" w:rsidRPr="008E53DD" w:rsidRDefault="003D31B3" w:rsidP="008E53DD">
      <w:pPr>
        <w:pStyle w:val="P00"/>
        <w:spacing w:before="72"/>
        <w:ind w:left="0" w:right="1134"/>
        <w:rPr>
          <w:rStyle w:val="default"/>
          <w:rFonts w:cs="FrankRuehl"/>
          <w:rtl/>
        </w:rPr>
      </w:pPr>
      <w:bookmarkStart w:id="4" w:name="LawPartEnd"/>
    </w:p>
    <w:bookmarkEnd w:id="4"/>
    <w:p w14:paraId="534E195D" w14:textId="77777777" w:rsidR="0029753C" w:rsidRDefault="0029753C" w:rsidP="008E53DD">
      <w:pPr>
        <w:pStyle w:val="P00"/>
        <w:spacing w:before="72"/>
        <w:ind w:left="0" w:right="1134"/>
        <w:rPr>
          <w:rStyle w:val="default"/>
          <w:rFonts w:cs="FrankRuehl"/>
          <w:rtl/>
        </w:rPr>
      </w:pPr>
    </w:p>
    <w:p w14:paraId="762FD841" w14:textId="77777777" w:rsidR="0029753C" w:rsidRDefault="0029753C" w:rsidP="008E53DD">
      <w:pPr>
        <w:pStyle w:val="P00"/>
        <w:spacing w:before="72"/>
        <w:ind w:left="0" w:right="1134"/>
        <w:rPr>
          <w:rStyle w:val="default"/>
          <w:rFonts w:cs="FrankRuehl"/>
          <w:rtl/>
        </w:rPr>
      </w:pPr>
    </w:p>
    <w:p w14:paraId="24881CCB" w14:textId="77777777" w:rsidR="0029753C" w:rsidRDefault="0029753C" w:rsidP="0029753C">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14C54FDF" w14:textId="77777777" w:rsidR="00AD2D81" w:rsidRPr="0029753C" w:rsidRDefault="00AD2D81" w:rsidP="0029753C">
      <w:pPr>
        <w:pStyle w:val="P00"/>
        <w:spacing w:before="72"/>
        <w:ind w:left="0" w:right="1134"/>
        <w:jc w:val="center"/>
        <w:rPr>
          <w:rStyle w:val="default"/>
          <w:rFonts w:cs="David"/>
          <w:color w:val="0000FF"/>
          <w:szCs w:val="24"/>
          <w:u w:val="single"/>
          <w:rtl/>
        </w:rPr>
      </w:pPr>
    </w:p>
    <w:sectPr w:rsidR="00AD2D81" w:rsidRPr="0029753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D7D56" w14:textId="77777777" w:rsidR="00595403" w:rsidRDefault="00595403">
      <w:r>
        <w:separator/>
      </w:r>
    </w:p>
  </w:endnote>
  <w:endnote w:type="continuationSeparator" w:id="0">
    <w:p w14:paraId="31EEB80A" w14:textId="77777777" w:rsidR="00595403" w:rsidRDefault="0059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B052" w14:textId="77777777" w:rsidR="003D31B3" w:rsidRDefault="003D31B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1901C9E" w14:textId="77777777" w:rsidR="003D31B3" w:rsidRDefault="003D31B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0A6C9A5" w14:textId="77777777" w:rsidR="003D31B3" w:rsidRDefault="003D31B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C:\Yael\hakika\Revadim\073_019.doc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BFE14" w14:textId="77777777" w:rsidR="003D31B3" w:rsidRDefault="003D31B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753C">
      <w:rPr>
        <w:rFonts w:hAnsi="FrankRuehl" w:cs="FrankRuehl"/>
        <w:noProof/>
        <w:sz w:val="24"/>
        <w:szCs w:val="24"/>
        <w:rtl/>
      </w:rPr>
      <w:t>2</w:t>
    </w:r>
    <w:r>
      <w:rPr>
        <w:rFonts w:hAnsi="FrankRuehl" w:cs="FrankRuehl"/>
        <w:sz w:val="24"/>
        <w:szCs w:val="24"/>
        <w:rtl/>
      </w:rPr>
      <w:fldChar w:fldCharType="end"/>
    </w:r>
  </w:p>
  <w:p w14:paraId="26DF106C" w14:textId="77777777" w:rsidR="003D31B3" w:rsidRDefault="003D31B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685B9D4" w14:textId="77777777" w:rsidR="003D31B3" w:rsidRDefault="003D31B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C:\Yael\hakika\Revadim\073_019.doc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912DE" w14:textId="77777777" w:rsidR="00595403" w:rsidRDefault="00595403">
      <w:pPr>
        <w:spacing w:before="60" w:line="240" w:lineRule="auto"/>
        <w:ind w:right="1134"/>
      </w:pPr>
      <w:r>
        <w:separator/>
      </w:r>
    </w:p>
  </w:footnote>
  <w:footnote w:type="continuationSeparator" w:id="0">
    <w:p w14:paraId="6245888D" w14:textId="77777777" w:rsidR="00595403" w:rsidRDefault="00595403">
      <w:r>
        <w:continuationSeparator/>
      </w:r>
    </w:p>
  </w:footnote>
  <w:footnote w:id="1">
    <w:p w14:paraId="07BBAC6C" w14:textId="77777777" w:rsidR="00592335" w:rsidRDefault="003D31B3" w:rsidP="005923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592335">
          <w:rPr>
            <w:rStyle w:val="Hyperlink"/>
            <w:rFonts w:cs="FrankRuehl" w:hint="cs"/>
            <w:rtl/>
          </w:rPr>
          <w:t>ק"ת תש</w:t>
        </w:r>
        <w:r w:rsidR="00A17770" w:rsidRPr="00592335">
          <w:rPr>
            <w:rStyle w:val="Hyperlink"/>
            <w:rFonts w:cs="FrankRuehl" w:hint="cs"/>
            <w:rtl/>
          </w:rPr>
          <w:t>ע"</w:t>
        </w:r>
        <w:r w:rsidR="008E53DD" w:rsidRPr="00592335">
          <w:rPr>
            <w:rStyle w:val="Hyperlink"/>
            <w:rFonts w:cs="FrankRuehl" w:hint="cs"/>
            <w:rtl/>
          </w:rPr>
          <w:t>ח</w:t>
        </w:r>
        <w:r w:rsidRPr="00592335">
          <w:rPr>
            <w:rStyle w:val="Hyperlink"/>
            <w:rFonts w:cs="FrankRuehl" w:hint="cs"/>
            <w:rtl/>
          </w:rPr>
          <w:t xml:space="preserve"> מס' </w:t>
        </w:r>
        <w:r w:rsidR="008E53DD" w:rsidRPr="00592335">
          <w:rPr>
            <w:rStyle w:val="Hyperlink"/>
            <w:rFonts w:cs="FrankRuehl" w:hint="cs"/>
            <w:rtl/>
          </w:rPr>
          <w:t>7878</w:t>
        </w:r>
      </w:hyperlink>
      <w:r>
        <w:rPr>
          <w:rFonts w:cs="FrankRuehl"/>
          <w:rtl/>
        </w:rPr>
        <w:t xml:space="preserve"> </w:t>
      </w:r>
      <w:r>
        <w:rPr>
          <w:rFonts w:cs="FrankRuehl" w:hint="cs"/>
          <w:rtl/>
        </w:rPr>
        <w:t xml:space="preserve">מיום </w:t>
      </w:r>
      <w:r w:rsidR="008E53DD">
        <w:rPr>
          <w:rFonts w:cs="FrankRuehl" w:hint="cs"/>
          <w:rtl/>
        </w:rPr>
        <w:t>31.10.2017</w:t>
      </w:r>
      <w:r>
        <w:rPr>
          <w:rFonts w:cs="FrankRuehl" w:hint="cs"/>
          <w:rtl/>
        </w:rPr>
        <w:t xml:space="preserve"> עמ' </w:t>
      </w:r>
      <w:r w:rsidR="008E53DD">
        <w:rPr>
          <w:rFonts w:cs="FrankRuehl" w:hint="cs"/>
          <w:rtl/>
        </w:rPr>
        <w:t>158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2528" w14:textId="77777777" w:rsidR="003D31B3" w:rsidRDefault="003D31B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העונשין (שירות לתועלת הציבור), תשנ"ד–1994</w:t>
    </w:r>
  </w:p>
  <w:p w14:paraId="58373FB4" w14:textId="77777777" w:rsidR="003D31B3" w:rsidRDefault="003D31B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93C3DE" w14:textId="77777777" w:rsidR="003D31B3" w:rsidRDefault="003D31B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784D" w14:textId="77777777" w:rsidR="003D31B3" w:rsidRDefault="003D31B3" w:rsidP="00A17770">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צו העונשין (</w:t>
    </w:r>
    <w:r w:rsidR="00A17770">
      <w:rPr>
        <w:rFonts w:hAnsi="FrankRuehl" w:cs="FrankRuehl" w:hint="cs"/>
        <w:color w:val="000000"/>
        <w:sz w:val="28"/>
        <w:szCs w:val="28"/>
        <w:rtl/>
      </w:rPr>
      <w:t>הכרזה על עניין סודי), תשע"</w:t>
    </w:r>
    <w:r w:rsidR="008E53DD">
      <w:rPr>
        <w:rFonts w:hAnsi="FrankRuehl" w:cs="FrankRuehl" w:hint="cs"/>
        <w:color w:val="000000"/>
        <w:sz w:val="28"/>
        <w:szCs w:val="28"/>
        <w:rtl/>
      </w:rPr>
      <w:t>ח-2017</w:t>
    </w:r>
  </w:p>
  <w:p w14:paraId="504FE7BB" w14:textId="77777777" w:rsidR="003D31B3" w:rsidRDefault="003D31B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479CEE5" w14:textId="77777777" w:rsidR="003D31B3" w:rsidRDefault="003D31B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1B3"/>
    <w:rsid w:val="0004435D"/>
    <w:rsid w:val="00056163"/>
    <w:rsid w:val="001C0B82"/>
    <w:rsid w:val="002013A3"/>
    <w:rsid w:val="0029753C"/>
    <w:rsid w:val="003D31B3"/>
    <w:rsid w:val="005627E1"/>
    <w:rsid w:val="00592335"/>
    <w:rsid w:val="00595403"/>
    <w:rsid w:val="00863F25"/>
    <w:rsid w:val="008E53DD"/>
    <w:rsid w:val="00964672"/>
    <w:rsid w:val="00A17770"/>
    <w:rsid w:val="00AD2D81"/>
    <w:rsid w:val="00CB0C52"/>
    <w:rsid w:val="00DC20ED"/>
    <w:rsid w:val="00E22DE3"/>
    <w:rsid w:val="00E9395B"/>
    <w:rsid w:val="00EE6832"/>
    <w:rsid w:val="00F153F0"/>
    <w:rsid w:val="00F9564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981A62"/>
  <w15:chartTrackingRefBased/>
  <w15:docId w15:val="{6B95C15E-F20A-4438-AE4E-240DAC2E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2570</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7929864</vt:i4>
      </vt:variant>
      <vt:variant>
        <vt:i4>0</vt:i4>
      </vt:variant>
      <vt:variant>
        <vt:i4>0</vt:i4>
      </vt:variant>
      <vt:variant>
        <vt:i4>5</vt:i4>
      </vt:variant>
      <vt:variant>
        <vt:lpwstr>http://www.nevo.co.il/Law_word/law06/tak-7878.pdf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דיני עונשין</vt:lpwstr>
  </property>
  <property fmtid="{D5CDD505-2E9C-101B-9397-08002B2CF9AE}" pid="4" name="LAWNAME">
    <vt:lpwstr>צו העונשין (הכרזה על עניין סודי), תשע"ח-2017</vt:lpwstr>
  </property>
  <property fmtid="{D5CDD505-2E9C-101B-9397-08002B2CF9AE}" pid="5" name="LAWNUMBER">
    <vt:lpwstr>0696</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עבירות</vt:lpwstr>
  </property>
  <property fmtid="{D5CDD505-2E9C-101B-9397-08002B2CF9AE}" pid="9" name="NOSE31">
    <vt:lpwstr>עבירות ביטחוניות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העונשין</vt:lpwstr>
  </property>
  <property fmtid="{D5CDD505-2E9C-101B-9397-08002B2CF9AE}" pid="48" name="MEKOR_SAIF1">
    <vt:lpwstr>113XדX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http://www.nevo.co.il/Law_word/law06/tak-7878.pdf;‎רשומות - תקנות כלליות#פורסם ק"ת תשע"ח מס' ‏‏7878 #מיום 31.10.2017 עמ' 158‏</vt:lpwstr>
  </property>
</Properties>
</file>