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8988" w14:textId="77777777" w:rsidR="009E35E9" w:rsidRDefault="008E20FC" w:rsidP="000E22C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עיריית דימונה לבין עיריית ערד והמועצות המקומיות כסייפה, מיתר וערערה בנגב והמועצה האזורית אל קסום</w:t>
      </w:r>
      <w:r>
        <w:rPr>
          <w:rFonts w:cs="FrankRuehl" w:hint="cs"/>
          <w:sz w:val="32"/>
          <w:rtl/>
        </w:rPr>
        <w:t xml:space="preserve">), </w:t>
      </w:r>
      <w:r w:rsidR="000E22CB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תשע"</w:t>
      </w:r>
      <w:r w:rsidR="00FE70C1">
        <w:rPr>
          <w:rFonts w:cs="FrankRuehl" w:hint="cs"/>
          <w:sz w:val="32"/>
          <w:rtl/>
        </w:rPr>
        <w:t>ה</w:t>
      </w:r>
      <w:r>
        <w:rPr>
          <w:rFonts w:cs="FrankRuehl" w:hint="cs"/>
          <w:sz w:val="32"/>
          <w:rtl/>
        </w:rPr>
        <w:t>-2014</w:t>
      </w:r>
    </w:p>
    <w:p w14:paraId="197AF23D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1CABBABF" w14:textId="77777777" w:rsidR="008E20FC" w:rsidRDefault="008E20FC" w:rsidP="008E20FC">
      <w:pPr>
        <w:spacing w:line="320" w:lineRule="auto"/>
        <w:rPr>
          <w:rtl/>
        </w:rPr>
      </w:pPr>
    </w:p>
    <w:p w14:paraId="0327E7CA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2CF3DEEA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D2D57" w:rsidRPr="00FD2D57" w14:paraId="1C2A661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2BB8922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F88AAD5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090E59D1" w14:textId="77777777" w:rsidR="00FD2D57" w:rsidRPr="00FD2D57" w:rsidRDefault="00FD2D57" w:rsidP="00FD2D57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FD2D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984F64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2D57" w:rsidRPr="00FD2D57" w14:paraId="78C03599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9BC4D2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FDA69CD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2919E28C" w14:textId="77777777" w:rsidR="00FD2D57" w:rsidRPr="00FD2D57" w:rsidRDefault="00FD2D57" w:rsidP="00FD2D57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FD2D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114DF1D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2D57" w:rsidRPr="00FD2D57" w14:paraId="53F833F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0D5152A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9999300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63A916F4" w14:textId="77777777" w:rsidR="00FD2D57" w:rsidRPr="00FD2D57" w:rsidRDefault="00FD2D57" w:rsidP="00FD2D57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FD2D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8E27D92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2D57" w:rsidRPr="00FD2D57" w14:paraId="263E993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EF449A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D27C407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39981297" w14:textId="77777777" w:rsidR="00FD2D57" w:rsidRPr="00FD2D57" w:rsidRDefault="00FD2D57" w:rsidP="00FD2D57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FD2D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0E00BA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2D57" w:rsidRPr="00FD2D57" w14:paraId="683055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A87BA6D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5407C854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499D2B76" w14:textId="77777777" w:rsidR="00FD2D57" w:rsidRPr="00FD2D57" w:rsidRDefault="00FD2D57" w:rsidP="00FD2D57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FD2D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992BC1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D2D57" w:rsidRPr="00FD2D57" w14:paraId="637481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14AB116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9785516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864FA65" w14:textId="77777777" w:rsidR="00FD2D57" w:rsidRPr="00FD2D57" w:rsidRDefault="00FD2D57" w:rsidP="00FD2D57">
            <w:pPr>
              <w:rPr>
                <w:rStyle w:val="Hyperlink"/>
                <w:rFonts w:hint="cs"/>
                <w:rtl/>
              </w:rPr>
            </w:pPr>
            <w:hyperlink w:anchor="Seif6" w:tooltip="תחילה" w:history="1">
              <w:r w:rsidRPr="00FD2D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E6C085" w14:textId="77777777" w:rsidR="00FD2D57" w:rsidRPr="00FD2D57" w:rsidRDefault="00FD2D57" w:rsidP="00FD2D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078FC41B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162EE57" w14:textId="77777777" w:rsidR="009E35E9" w:rsidRDefault="009E35E9" w:rsidP="000E22C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0E22CB">
        <w:rPr>
          <w:rFonts w:cs="FrankRuehl" w:hint="cs"/>
          <w:sz w:val="32"/>
          <w:rtl/>
        </w:rPr>
        <w:lastRenderedPageBreak/>
        <w:t xml:space="preserve">צו העיריות (חלוקת הכנסות בין עיריית דימונה לבין עיריית ערד והמועצות המקומיות כסייפה, מיתר וערערה בנגב והמועצה האזורית אל קסום), </w:t>
      </w:r>
      <w:r w:rsidR="000E22CB">
        <w:rPr>
          <w:rFonts w:cs="FrankRuehl"/>
          <w:sz w:val="32"/>
          <w:rtl/>
        </w:rPr>
        <w:br/>
      </w:r>
      <w:r w:rsidR="000E22CB">
        <w:rPr>
          <w:rFonts w:cs="FrankRuehl" w:hint="cs"/>
          <w:sz w:val="32"/>
          <w:rtl/>
        </w:rPr>
        <w:t>תשע"ה-2014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B5E51BA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9075F8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וסעיף 34א לפקודת המועצות המקומיות, 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14:paraId="2C722968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1AED143">
          <v:rect id="_x0000_s2050" style="position:absolute;left:0;text-align:left;margin-left:464.35pt;margin-top:7.1pt;width:75.05pt;height:12.95pt;z-index:251655168" o:allowincell="f" filled="f" stroked="f" strokecolor="lime" strokeweight=".25pt">
            <v:textbox style="mso-next-textbox:#_x0000_s2050" inset="0,0,0,0">
              <w:txbxContent>
                <w:p w14:paraId="68F9A77B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32AB56A5" w14:textId="77777777" w:rsidR="00FE70C1" w:rsidRDefault="00FE70C1" w:rsidP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מארנונה כללית המתקבלות מאזור חלוקת ההכנסות כהגדרתו בסעיף 2 לצו זה;</w:t>
      </w:r>
    </w:p>
    <w:p w14:paraId="7227C5F0" w14:textId="77777777"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9075F8">
        <w:rPr>
          <w:rStyle w:val="default"/>
          <w:rFonts w:cs="FrankRuehl" w:hint="cs"/>
          <w:rtl/>
        </w:rPr>
        <w:t>העיריות דימונה וערד, המועצות המקומיות כסייפה, מיתר וערערה בנגב והמועצה האזורית אל קסום</w:t>
      </w:r>
      <w:r>
        <w:rPr>
          <w:rStyle w:val="default"/>
          <w:rFonts w:cs="FrankRuehl" w:hint="cs"/>
          <w:rtl/>
        </w:rPr>
        <w:t>;</w:t>
      </w:r>
    </w:p>
    <w:p w14:paraId="7AE18BC2" w14:textId="77777777" w:rsidR="009075F8" w:rsidRDefault="009075F8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ערד, המועצות המקומיות כסייפה, מיתר וערערה בנגב, והמועצה האזורית אל קסום;</w:t>
      </w:r>
    </w:p>
    <w:p w14:paraId="39BB902E" w14:textId="77777777" w:rsidR="008E20FC" w:rsidRDefault="008E20FC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"מפה"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מפת אזור חלוקת ההכנס</w:t>
      </w:r>
      <w:r w:rsidR="009075F8">
        <w:rPr>
          <w:rStyle w:val="default"/>
          <w:rFonts w:cs="FrankRuehl" w:hint="cs"/>
          <w:rtl/>
        </w:rPr>
        <w:t>ות הערוכה בקנה מידה 1:2</w:t>
      </w:r>
      <w:r>
        <w:rPr>
          <w:rStyle w:val="default"/>
          <w:rFonts w:cs="FrankRuehl" w:hint="cs"/>
          <w:rtl/>
        </w:rPr>
        <w:t xml:space="preserve">0,000 והחתומה ביד שר הפנים ביום </w:t>
      </w:r>
      <w:r w:rsidR="009075F8">
        <w:rPr>
          <w:rStyle w:val="default"/>
          <w:rFonts w:cs="FrankRuehl" w:hint="cs"/>
          <w:rtl/>
        </w:rPr>
        <w:t>א' בטבת התשע"ה (23 בדצמבר</w:t>
      </w:r>
      <w:r>
        <w:rPr>
          <w:rStyle w:val="default"/>
          <w:rFonts w:cs="FrankRuehl" w:hint="cs"/>
          <w:rtl/>
        </w:rPr>
        <w:t xml:space="preserve"> 201</w:t>
      </w:r>
      <w:r w:rsidR="00FE70C1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 w:hint="cs"/>
          <w:rtl/>
        </w:rPr>
        <w:t>) ושהעתקים ממנה מופקדים במשרד הפנים, ירושלים, במשרד הממונה על מחוז</w:t>
      </w:r>
      <w:r w:rsidR="009075F8">
        <w:rPr>
          <w:rStyle w:val="default"/>
          <w:rFonts w:cs="FrankRuehl" w:hint="cs"/>
          <w:rtl/>
        </w:rPr>
        <w:t xml:space="preserve"> הדרום ובמשרדי הרשויות המקומיות;</w:t>
      </w:r>
    </w:p>
    <w:p w14:paraId="6B97148B" w14:textId="77777777" w:rsidR="009075F8" w:rsidRDefault="009075F8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"שיעור גביית ארנונה"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35ג לפקודת המועצות המקומיות.</w:t>
      </w:r>
    </w:p>
    <w:p w14:paraId="1DFBFE8D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4A9EB681">
          <v:rect id="_x0000_s2238" style="position:absolute;left:0;text-align:left;margin-left:464.35pt;margin-top:7.1pt;width:75.05pt;height:20.85pt;z-index:251656192" o:allowincell="f" filled="f" stroked="f" strokecolor="lime" strokeweight=".25pt">
            <v:textbox style="mso-next-textbox:#_x0000_s2238" inset="0,0,0,0">
              <w:txbxContent>
                <w:p w14:paraId="724EACE3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5F7323">
        <w:rPr>
          <w:rStyle w:val="default"/>
          <w:rFonts w:cs="FrankRuehl" w:hint="cs"/>
          <w:rtl/>
        </w:rPr>
        <w:t>(א)</w:t>
      </w:r>
      <w:r w:rsidR="005F7323">
        <w:rPr>
          <w:rStyle w:val="default"/>
          <w:rFonts w:cs="FrankRuehl" w:hint="cs"/>
          <w:rtl/>
        </w:rPr>
        <w:tab/>
        <w:t>אזור חלוקת ההכנסות כולל גושים וחלקות רישום כלהלן:</w:t>
      </w:r>
    </w:p>
    <w:p w14:paraId="676129FB" w14:textId="77777777" w:rsidR="005F7323" w:rsidRDefault="009075F8" w:rsidP="005A166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גושים 1_100070, 2_100070, 2_100074 עד 4_100074, 1_100075, 2_100075, 1_100079, 2_100079, 1_100080 עד 3_100080, 2_100081 עד 4_100081, 100676, 100677, 100680, 100682, 100684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בשלמותם</w:t>
      </w:r>
      <w:r w:rsidR="005F7323">
        <w:rPr>
          <w:rStyle w:val="default"/>
          <w:rFonts w:cs="FrankRuehl" w:hint="cs"/>
          <w:rtl/>
        </w:rPr>
        <w:t>;</w:t>
      </w:r>
    </w:p>
    <w:p w14:paraId="15947C52" w14:textId="77777777" w:rsidR="005A1666" w:rsidRDefault="005A1666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9075F8">
        <w:rPr>
          <w:rStyle w:val="default"/>
          <w:rFonts w:cs="FrankRuehl" w:hint="cs"/>
          <w:rtl/>
        </w:rPr>
        <w:t>1_100074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7C720C1C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1_100081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3E478276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2_100082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5864BF1C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100675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2C0471A3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100678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חלקות 2, 3 וחלק מחלקה 1 כמסומן במפה;</w:t>
      </w:r>
    </w:p>
    <w:p w14:paraId="4188333C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100679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מחלקות 1 עד 3 כמסומן במפה;</w:t>
      </w:r>
    </w:p>
    <w:p w14:paraId="21226768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100681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3FE5B5C2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100683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6A7A970F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100693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7C021481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100694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76D994F1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100695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1433D9F7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400109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243D8850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400218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 מחלקה 1 כמסומן במפה;</w:t>
      </w:r>
    </w:p>
    <w:p w14:paraId="67A325A6" w14:textId="77777777" w:rsidR="009075F8" w:rsidRDefault="009075F8" w:rsidP="009075F8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גושים לא מוסדרים כמסומן במפה.</w:t>
      </w:r>
    </w:p>
    <w:p w14:paraId="78E8412B" w14:textId="77777777" w:rsidR="000F1E37" w:rsidRDefault="000F1E37" w:rsidP="000F1E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ההכנסות באזור חלוקת ההכנסות כאמור בסעיף קטן (א) יחולקו בין הרשויות המקומיות לפי צו זה.</w:t>
      </w:r>
    </w:p>
    <w:p w14:paraId="01191618" w14:textId="77777777" w:rsidR="009E35E9" w:rsidRDefault="009E35E9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45CC516C">
          <v:rect id="_x0000_s2239" style="position:absolute;left:0;text-align:left;margin-left:464.35pt;margin-top:7.1pt;width:75.05pt;height:12.4pt;z-index:251657216" o:allowincell="f" filled="f" stroked="f" strokecolor="lime" strokeweight=".25pt">
            <v:textbox style="mso-next-textbox:#_x0000_s2239" inset="0,0,0,0">
              <w:txbxContent>
                <w:p w14:paraId="1EB9501D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9075F8">
        <w:rPr>
          <w:rStyle w:val="default"/>
          <w:rFonts w:cs="FrankRuehl" w:hint="cs"/>
          <w:rtl/>
        </w:rPr>
        <w:t>יחולקו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3A7159C8" w14:textId="77777777" w:rsidR="000F1E37" w:rsidRDefault="000F1E37" w:rsidP="00902C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(1)</w:t>
      </w:r>
      <w:r>
        <w:rPr>
          <w:rStyle w:val="default"/>
          <w:rFonts w:cs="FrankRuehl" w:hint="cs"/>
          <w:rtl/>
        </w:rPr>
        <w:tab/>
      </w:r>
      <w:r w:rsidR="00902C90">
        <w:rPr>
          <w:rStyle w:val="default"/>
          <w:rFonts w:cs="FrankRuehl" w:hint="cs"/>
          <w:rtl/>
        </w:rPr>
        <w:t xml:space="preserve">עיריית דימונה </w:t>
      </w:r>
      <w:r w:rsidR="00902C90">
        <w:rPr>
          <w:rStyle w:val="default"/>
          <w:rFonts w:cs="FrankRuehl"/>
          <w:rtl/>
        </w:rPr>
        <w:t>–</w:t>
      </w:r>
      <w:r w:rsidR="00902C90">
        <w:rPr>
          <w:rStyle w:val="default"/>
          <w:rFonts w:cs="FrankRuehl" w:hint="cs"/>
          <w:rtl/>
        </w:rPr>
        <w:t xml:space="preserve"> 31.8%</w:t>
      </w:r>
      <w:r>
        <w:rPr>
          <w:rStyle w:val="default"/>
          <w:rFonts w:cs="FrankRuehl" w:hint="cs"/>
          <w:rtl/>
        </w:rPr>
        <w:t>;</w:t>
      </w:r>
    </w:p>
    <w:p w14:paraId="298E16F0" w14:textId="77777777" w:rsidR="000F1E37" w:rsidRDefault="000F1E37" w:rsidP="00902C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עיריית </w:t>
      </w:r>
      <w:r w:rsidR="00902C90">
        <w:rPr>
          <w:rStyle w:val="default"/>
          <w:rFonts w:cs="FrankRuehl" w:hint="cs"/>
          <w:rtl/>
        </w:rPr>
        <w:t xml:space="preserve">ערד </w:t>
      </w:r>
      <w:r w:rsidR="00902C90">
        <w:rPr>
          <w:rStyle w:val="default"/>
          <w:rFonts w:cs="FrankRuehl"/>
          <w:rtl/>
        </w:rPr>
        <w:t>–</w:t>
      </w:r>
      <w:r w:rsidR="00902C90">
        <w:rPr>
          <w:rStyle w:val="default"/>
          <w:rFonts w:cs="FrankRuehl" w:hint="cs"/>
          <w:rtl/>
        </w:rPr>
        <w:t xml:space="preserve"> 20.5%;</w:t>
      </w:r>
    </w:p>
    <w:p w14:paraId="4B12CCDA" w14:textId="77777777" w:rsidR="000F1E37" w:rsidRDefault="000F1E37" w:rsidP="00902C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</w:r>
      <w:r w:rsidR="00902C90">
        <w:rPr>
          <w:rStyle w:val="default"/>
          <w:rFonts w:cs="FrankRuehl" w:hint="cs"/>
          <w:rtl/>
        </w:rPr>
        <w:t xml:space="preserve">המועצה המקומית כסייפה </w:t>
      </w:r>
      <w:r w:rsidR="00902C90">
        <w:rPr>
          <w:rStyle w:val="default"/>
          <w:rFonts w:cs="FrankRuehl"/>
          <w:rtl/>
        </w:rPr>
        <w:t>–</w:t>
      </w:r>
      <w:r w:rsidR="00902C90">
        <w:rPr>
          <w:rStyle w:val="default"/>
          <w:rFonts w:cs="FrankRuehl" w:hint="cs"/>
          <w:rtl/>
        </w:rPr>
        <w:t xml:space="preserve"> 20.5%;</w:t>
      </w:r>
    </w:p>
    <w:p w14:paraId="2B49B4F8" w14:textId="77777777" w:rsidR="00902C90" w:rsidRDefault="00902C90" w:rsidP="00902C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המועצה המקומית מיתר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9%;</w:t>
      </w:r>
    </w:p>
    <w:p w14:paraId="45B0458A" w14:textId="77777777" w:rsidR="00902C90" w:rsidRDefault="00902C90" w:rsidP="00902C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המועצה המקומית ערערה בנגב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6.8%;</w:t>
      </w:r>
    </w:p>
    <w:p w14:paraId="1668A8DC" w14:textId="77777777" w:rsidR="00902C90" w:rsidRDefault="00902C90" w:rsidP="00902C90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המועצה האזורית אל קסום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11.4%.</w:t>
      </w:r>
    </w:p>
    <w:p w14:paraId="4822BEB6" w14:textId="77777777" w:rsidR="000F1E37" w:rsidRDefault="000F1E37" w:rsidP="00902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</w:t>
      </w:r>
      <w:r w:rsidR="00902C90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</w:r>
      <w:r w:rsidR="00902C90">
        <w:rPr>
          <w:rStyle w:val="default"/>
          <w:rFonts w:cs="FrankRuehl" w:hint="cs"/>
          <w:rtl/>
        </w:rPr>
        <w:t>על אף האמור בסעיף קטן (א), רשות מקומית ששיעור גביית הארנונה שלה בשנת הכספים האחרונה שלגביה הוגש דוח מבוקר קטן מ-50%, תקבל 85% מהשיעור המגיע לה לפי סעיף קטן (א), והיתרה תחולק בין שאר הרשויות המקומיות לפי יחס החלוקה ביניהן לפי סעיף קטן (א)</w:t>
      </w:r>
      <w:r>
        <w:rPr>
          <w:rStyle w:val="default"/>
          <w:rFonts w:cs="FrankRuehl" w:hint="cs"/>
          <w:rtl/>
        </w:rPr>
        <w:t>.</w:t>
      </w:r>
    </w:p>
    <w:p w14:paraId="77FB2E32" w14:textId="77777777" w:rsidR="00902C90" w:rsidRDefault="00902C90" w:rsidP="00902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עיריית דימונה תעביר לרשויות המקומיות המקבלות את ההכנסות בהתאם לאמור בסעיף קטן (א).</w:t>
      </w:r>
    </w:p>
    <w:p w14:paraId="7A282B72" w14:textId="77777777" w:rsidR="009E35E9" w:rsidRDefault="009E35E9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4A5C7EEA">
          <v:rect id="_x0000_s2255" style="position:absolute;left:0;text-align:left;margin-left:464.35pt;margin-top:7.1pt;width:75.05pt;height:8.95pt;z-index:251658240" o:allowincell="f" filled="f" stroked="f" strokecolor="lime" strokeweight=".25pt">
            <v:textbox style="mso-next-textbox:#_x0000_s2255" inset="0,0,0,0">
              <w:txbxContent>
                <w:p w14:paraId="1AFD6994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161651">
        <w:rPr>
          <w:rStyle w:val="default"/>
          <w:rFonts w:cs="FrankRuehl" w:hint="cs"/>
          <w:rtl/>
        </w:rPr>
        <w:t>עיריית דימונה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 xml:space="preserve">בכל רבעון דוח רבעוני של ההכנסות באזור חלוקת ההכנסות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161651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יועבר</w:t>
      </w:r>
      <w:r w:rsidR="000F1E37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161651">
        <w:rPr>
          <w:rStyle w:val="default"/>
          <w:rFonts w:cs="FrankRuehl" w:hint="cs"/>
          <w:rtl/>
        </w:rPr>
        <w:t>לרשויות המקומיות המקבלות</w:t>
      </w:r>
      <w:r w:rsidR="000F1E37">
        <w:rPr>
          <w:rStyle w:val="default"/>
          <w:rFonts w:cs="FrankRuehl" w:hint="cs"/>
          <w:rtl/>
        </w:rPr>
        <w:t xml:space="preserve"> </w:t>
      </w:r>
      <w:r w:rsidR="002F7617">
        <w:rPr>
          <w:rStyle w:val="default"/>
          <w:rFonts w:cs="FrankRuehl" w:hint="cs"/>
          <w:rtl/>
        </w:rPr>
        <w:t>כמפורט בסעיף 3.</w:t>
      </w:r>
    </w:p>
    <w:p w14:paraId="7217BB35" w14:textId="77777777"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161651">
        <w:rPr>
          <w:rStyle w:val="default"/>
          <w:rFonts w:cs="FrankRuehl" w:hint="cs"/>
          <w:rtl/>
        </w:rPr>
        <w:t>לרשויות המקבלות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14:paraId="1375D7C5" w14:textId="77777777"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161651">
        <w:rPr>
          <w:rStyle w:val="default"/>
          <w:rFonts w:cs="FrankRuehl" w:hint="cs"/>
          <w:rtl/>
        </w:rPr>
        <w:t>הרשויות המקומיות המקבלות</w:t>
      </w:r>
      <w:r>
        <w:rPr>
          <w:rStyle w:val="default"/>
          <w:rFonts w:cs="FrankRuehl" w:hint="cs"/>
          <w:rtl/>
        </w:rPr>
        <w:t xml:space="preserve"> רשאיות, בתוך 21 ימים מיום שהועבר לידיהן הדוח הרבעוני, לדרוש </w:t>
      </w:r>
      <w:r w:rsidR="00161651">
        <w:rPr>
          <w:rStyle w:val="default"/>
          <w:rFonts w:cs="FrankRuehl" w:hint="cs"/>
          <w:rtl/>
        </w:rPr>
        <w:t xml:space="preserve">מעיריית דימונה </w:t>
      </w:r>
      <w:r>
        <w:rPr>
          <w:rStyle w:val="default"/>
          <w:rFonts w:cs="FrankRuehl" w:hint="cs"/>
          <w:rtl/>
        </w:rPr>
        <w:t>כל מידע הנוגע להכנסות.</w:t>
      </w:r>
    </w:p>
    <w:p w14:paraId="2AE34941" w14:textId="77777777" w:rsidR="002F7617" w:rsidRDefault="002F7617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161651">
        <w:rPr>
          <w:rStyle w:val="default"/>
          <w:rFonts w:cs="FrankRuehl" w:hint="cs"/>
          <w:rtl/>
        </w:rPr>
        <w:t>עיריית דימונה</w:t>
      </w:r>
      <w:r>
        <w:rPr>
          <w:rStyle w:val="default"/>
          <w:rFonts w:cs="FrankRuehl" w:hint="cs"/>
          <w:rtl/>
        </w:rPr>
        <w:t xml:space="preserve"> תמציא את המידע הנדרש בתוך 21 ימים מיום שנדרשה לכך.</w:t>
      </w:r>
    </w:p>
    <w:p w14:paraId="6C7E0E4A" w14:textId="77777777" w:rsidR="009E35E9" w:rsidRDefault="009E35E9" w:rsidP="001616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597DB950">
          <v:rect id="_x0000_s2256" style="position:absolute;left:0;text-align:left;margin-left:464.35pt;margin-top:7.1pt;width:75.05pt;height:10.85pt;z-index:251659264" o:allowincell="f" filled="f" stroked="f" strokecolor="lime" strokeweight=".25pt">
            <v:textbox style="mso-next-textbox:#_x0000_s2256" inset="0,0,0,0">
              <w:txbxContent>
                <w:p w14:paraId="452B0D19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161651">
        <w:rPr>
          <w:rStyle w:val="default"/>
          <w:rFonts w:cs="FrankRuehl" w:hint="cs"/>
          <w:rtl/>
        </w:rPr>
        <w:t>לרשויות המקומיות המקבלות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כהגדרתה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3AF71841" w14:textId="77777777" w:rsidR="009E35E9" w:rsidRDefault="009E35E9" w:rsidP="00BA6C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473B17E4">
          <v:rect id="_x0000_s2257" style="position:absolute;left:0;text-align:left;margin-left:464.35pt;margin-top:7.1pt;width:75.05pt;height:11.35pt;z-index:251660288" o:allowincell="f" filled="f" stroked="f" strokecolor="lime" strokeweight=".25pt">
            <v:textbox style="mso-next-textbox:#_x0000_s2257" inset="0,0,0,0">
              <w:txbxContent>
                <w:p w14:paraId="3022486F" w14:textId="77777777" w:rsidR="009E35E9" w:rsidRDefault="004E506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61651">
        <w:rPr>
          <w:rStyle w:val="default"/>
          <w:rFonts w:cs="FrankRuehl" w:hint="cs"/>
          <w:rtl/>
        </w:rPr>
        <w:t>תחילתו של צו זה</w:t>
      </w:r>
      <w:r w:rsidR="004E5061">
        <w:rPr>
          <w:rStyle w:val="default"/>
          <w:rFonts w:cs="FrankRuehl" w:hint="cs"/>
          <w:rtl/>
        </w:rPr>
        <w:t xml:space="preserve"> ביום </w:t>
      </w:r>
      <w:r w:rsidR="00F64C6C">
        <w:rPr>
          <w:rStyle w:val="default"/>
          <w:rFonts w:cs="FrankRuehl" w:hint="cs"/>
          <w:rtl/>
        </w:rPr>
        <w:t>י'</w:t>
      </w:r>
      <w:r w:rsidR="004E5061">
        <w:rPr>
          <w:rStyle w:val="default"/>
          <w:rFonts w:cs="FrankRuehl" w:hint="cs"/>
          <w:rtl/>
        </w:rPr>
        <w:t xml:space="preserve"> בטבת התשע"</w:t>
      </w:r>
      <w:r w:rsidR="00BA6C1A">
        <w:rPr>
          <w:rStyle w:val="default"/>
          <w:rFonts w:cs="FrankRuehl" w:hint="cs"/>
          <w:rtl/>
        </w:rPr>
        <w:t>ה</w:t>
      </w:r>
      <w:r w:rsidR="00F64C6C">
        <w:rPr>
          <w:rStyle w:val="default"/>
          <w:rFonts w:cs="FrankRuehl" w:hint="cs"/>
          <w:rtl/>
        </w:rPr>
        <w:t xml:space="preserve"> (1 בינואר 2015</w:t>
      </w:r>
      <w:r w:rsidR="004E5061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>.</w:t>
      </w:r>
    </w:p>
    <w:p w14:paraId="346A5AB1" w14:textId="77777777" w:rsidR="00FE70C1" w:rsidRDefault="00FE70C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261369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C39E8E" w14:textId="77777777" w:rsidR="009E35E9" w:rsidRPr="008E20FC" w:rsidRDefault="00161651" w:rsidP="0016165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ב' בטבת</w:t>
      </w:r>
      <w:r w:rsidR="004E5061">
        <w:rPr>
          <w:rStyle w:val="default"/>
          <w:rFonts w:cs="FrankRuehl" w:hint="cs"/>
          <w:rtl/>
        </w:rPr>
        <w:t xml:space="preserve"> התשע"</w:t>
      </w:r>
      <w:r w:rsidR="00772A1E">
        <w:rPr>
          <w:rStyle w:val="default"/>
          <w:rFonts w:cs="FrankRuehl" w:hint="cs"/>
          <w:rtl/>
        </w:rPr>
        <w:t>ה</w:t>
      </w:r>
      <w:r w:rsidR="004E5061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 בדצמבר</w:t>
      </w:r>
      <w:r w:rsidR="004E5061">
        <w:rPr>
          <w:rStyle w:val="default"/>
          <w:rFonts w:cs="FrankRuehl" w:hint="cs"/>
          <w:rtl/>
        </w:rPr>
        <w:t xml:space="preserve"> 201</w:t>
      </w:r>
      <w:r w:rsidR="00772A1E">
        <w:rPr>
          <w:rStyle w:val="default"/>
          <w:rFonts w:cs="FrankRuehl" w:hint="cs"/>
          <w:rtl/>
        </w:rPr>
        <w:t>4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>
        <w:rPr>
          <w:rFonts w:cs="FrankRuehl" w:hint="cs"/>
          <w:rtl/>
        </w:rPr>
        <w:t>גלעד ארדן</w:t>
      </w:r>
    </w:p>
    <w:p w14:paraId="45A6675B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1BD7E9A0" w14:textId="77777777" w:rsidR="009075F8" w:rsidRPr="009075F8" w:rsidRDefault="009075F8" w:rsidP="009075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52A5141" w14:textId="77777777" w:rsidR="00C25431" w:rsidRPr="009075F8" w:rsidRDefault="00C25431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7BF1F3" w14:textId="77777777" w:rsidR="00FD2D57" w:rsidRDefault="00FD2D57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FDA7C2" w14:textId="77777777" w:rsidR="00FD2D57" w:rsidRDefault="00FD2D57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1984F5" w14:textId="77777777" w:rsidR="00FD2D57" w:rsidRDefault="00FD2D57" w:rsidP="00FD2D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380E8FC9" w14:textId="77777777" w:rsidR="004A4B10" w:rsidRPr="00FD2D57" w:rsidRDefault="004A4B10" w:rsidP="00FD2D5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A4B10" w:rsidRPr="00FD2D5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6EE4" w14:textId="77777777" w:rsidR="000F77BD" w:rsidRDefault="000F77BD">
      <w:r>
        <w:separator/>
      </w:r>
    </w:p>
  </w:endnote>
  <w:endnote w:type="continuationSeparator" w:id="0">
    <w:p w14:paraId="46C0840D" w14:textId="77777777" w:rsidR="000F77BD" w:rsidRDefault="000F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AEC6F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9D1E8A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A9612A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AFF12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D2D5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8A86241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CE363F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059E6" w14:textId="77777777" w:rsidR="000F77BD" w:rsidRDefault="000F77BD">
      <w:r>
        <w:separator/>
      </w:r>
    </w:p>
  </w:footnote>
  <w:footnote w:type="continuationSeparator" w:id="0">
    <w:p w14:paraId="0EB80F8F" w14:textId="77777777" w:rsidR="000F77BD" w:rsidRDefault="000F77BD">
      <w:r>
        <w:continuationSeparator/>
      </w:r>
    </w:p>
  </w:footnote>
  <w:footnote w:id="1">
    <w:p w14:paraId="7C86DFD7" w14:textId="77777777" w:rsidR="004751DE" w:rsidRDefault="009E35E9" w:rsidP="004751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4751DE">
          <w:rPr>
            <w:rStyle w:val="Hyperlink"/>
            <w:rFonts w:cs="FrankRuehl" w:hint="cs"/>
            <w:rtl/>
          </w:rPr>
          <w:t xml:space="preserve">ק"ת </w:t>
        </w:r>
        <w:r w:rsidR="008E20FC" w:rsidRPr="004751DE">
          <w:rPr>
            <w:rStyle w:val="Hyperlink"/>
            <w:rFonts w:cs="FrankRuehl" w:hint="cs"/>
            <w:rtl/>
          </w:rPr>
          <w:t>תשע"</w:t>
        </w:r>
        <w:r w:rsidR="00FE70C1" w:rsidRPr="004751DE">
          <w:rPr>
            <w:rStyle w:val="Hyperlink"/>
            <w:rFonts w:cs="FrankRuehl" w:hint="cs"/>
            <w:rtl/>
          </w:rPr>
          <w:t>ה</w:t>
        </w:r>
        <w:r w:rsidRPr="004751DE">
          <w:rPr>
            <w:rStyle w:val="Hyperlink"/>
            <w:rFonts w:cs="FrankRuehl" w:hint="cs"/>
            <w:rtl/>
          </w:rPr>
          <w:t xml:space="preserve"> מס' </w:t>
        </w:r>
        <w:r w:rsidR="00FE70C1" w:rsidRPr="004751DE">
          <w:rPr>
            <w:rStyle w:val="Hyperlink"/>
            <w:rFonts w:cs="FrankRuehl" w:hint="cs"/>
            <w:rtl/>
          </w:rPr>
          <w:t>74</w:t>
        </w:r>
        <w:r w:rsidR="000E22CB" w:rsidRPr="004751DE">
          <w:rPr>
            <w:rStyle w:val="Hyperlink"/>
            <w:rFonts w:cs="FrankRuehl" w:hint="cs"/>
            <w:rtl/>
          </w:rPr>
          <w:t>66</w:t>
        </w:r>
      </w:hyperlink>
      <w:r>
        <w:rPr>
          <w:rFonts w:cs="FrankRuehl" w:hint="cs"/>
          <w:rtl/>
        </w:rPr>
        <w:t xml:space="preserve"> מיום </w:t>
      </w:r>
      <w:r w:rsidR="000E22CB">
        <w:rPr>
          <w:rFonts w:cs="FrankRuehl" w:hint="cs"/>
          <w:rtl/>
        </w:rPr>
        <w:t>30.12</w:t>
      </w:r>
      <w:r w:rsidR="008E20FC">
        <w:rPr>
          <w:rFonts w:cs="FrankRuehl" w:hint="cs"/>
          <w:rtl/>
        </w:rPr>
        <w:t>.2014</w:t>
      </w:r>
      <w:r>
        <w:rPr>
          <w:rFonts w:cs="FrankRuehl" w:hint="cs"/>
          <w:rtl/>
        </w:rPr>
        <w:t xml:space="preserve"> עמ' </w:t>
      </w:r>
      <w:r w:rsidR="000E22CB">
        <w:rPr>
          <w:rFonts w:cs="FrankRuehl" w:hint="cs"/>
          <w:rtl/>
        </w:rPr>
        <w:t>494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1889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2671291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401380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2897" w14:textId="77777777" w:rsidR="009E35E9" w:rsidRDefault="008E20FC" w:rsidP="000E22CB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>העיריות (חלוקת הכנסות בין עיריית דימונה לבין עיריית ערד והמועצות המקומיות כסייפה, מיתר וערערה בנגב והמועצה האזורית אל קסום</w:t>
    </w:r>
    <w:r>
      <w:rPr>
        <w:rFonts w:hAnsi="FrankRuehl" w:cs="FrankRuehl" w:hint="cs"/>
        <w:color w:val="000000"/>
        <w:sz w:val="28"/>
        <w:szCs w:val="28"/>
        <w:rtl/>
      </w:rPr>
      <w:t>), תשע"</w:t>
    </w:r>
    <w:r w:rsidR="00FE70C1">
      <w:rPr>
        <w:rFonts w:hAnsi="FrankRuehl" w:cs="FrankRuehl" w:hint="cs"/>
        <w:color w:val="000000"/>
        <w:sz w:val="28"/>
        <w:szCs w:val="28"/>
        <w:rtl/>
      </w:rPr>
      <w:t>ה</w:t>
    </w:r>
    <w:r>
      <w:rPr>
        <w:rFonts w:hAnsi="FrankRuehl" w:cs="FrankRuehl" w:hint="cs"/>
        <w:color w:val="000000"/>
        <w:sz w:val="28"/>
        <w:szCs w:val="28"/>
        <w:rtl/>
      </w:rPr>
      <w:t>-2014</w:t>
    </w:r>
  </w:p>
  <w:p w14:paraId="143EE660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18A938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2687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953C0"/>
    <w:rsid w:val="000E22CB"/>
    <w:rsid w:val="000F1E37"/>
    <w:rsid w:val="000F77BD"/>
    <w:rsid w:val="00161651"/>
    <w:rsid w:val="0018449C"/>
    <w:rsid w:val="00201791"/>
    <w:rsid w:val="002A00E6"/>
    <w:rsid w:val="002F7617"/>
    <w:rsid w:val="003A73D6"/>
    <w:rsid w:val="00474A58"/>
    <w:rsid w:val="004751DE"/>
    <w:rsid w:val="004A16D2"/>
    <w:rsid w:val="004A4B10"/>
    <w:rsid w:val="004E5061"/>
    <w:rsid w:val="004E66A5"/>
    <w:rsid w:val="005A1666"/>
    <w:rsid w:val="005F7323"/>
    <w:rsid w:val="00772A1E"/>
    <w:rsid w:val="007753F5"/>
    <w:rsid w:val="00780C52"/>
    <w:rsid w:val="007D2EEE"/>
    <w:rsid w:val="008A4A8E"/>
    <w:rsid w:val="008E20FC"/>
    <w:rsid w:val="00902C90"/>
    <w:rsid w:val="009075F8"/>
    <w:rsid w:val="0094424F"/>
    <w:rsid w:val="009E35E9"/>
    <w:rsid w:val="00A1207E"/>
    <w:rsid w:val="00A95B72"/>
    <w:rsid w:val="00B65A57"/>
    <w:rsid w:val="00BA6C1A"/>
    <w:rsid w:val="00BD1FE9"/>
    <w:rsid w:val="00C06520"/>
    <w:rsid w:val="00C25431"/>
    <w:rsid w:val="00C83F6C"/>
    <w:rsid w:val="00CC3E88"/>
    <w:rsid w:val="00CE6F09"/>
    <w:rsid w:val="00D0395E"/>
    <w:rsid w:val="00D251CF"/>
    <w:rsid w:val="00D53828"/>
    <w:rsid w:val="00D572F0"/>
    <w:rsid w:val="00F13E49"/>
    <w:rsid w:val="00F64C6C"/>
    <w:rsid w:val="00F65AC8"/>
    <w:rsid w:val="00F80813"/>
    <w:rsid w:val="00FD2D57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280CCE31"/>
  <w15:chartTrackingRefBased/>
  <w15:docId w15:val="{335A4E3C-467B-4D5E-93BB-F6AAB1BC4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3987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Yael Ilan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העיריות (חלוקת הכנסות בין עיריית דימונה לבין עיריית ערד והמועצות המקומיות כסייפה, מיתר וערערה בנגב והמועצה האזורית אל קסום), תשע"ה-2014</vt:lpwstr>
  </property>
  <property fmtid="{D5CDD505-2E9C-101B-9397-08002B2CF9AE}" pid="4" name="LAWNUMBER">
    <vt:lpwstr>0163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העיריות [נוסח חדש]</vt:lpwstr>
  </property>
  <property fmtid="{D5CDD505-2E9C-101B-9397-08002B2CF9AE}" pid="21" name="MEKOR_SAIF1">
    <vt:lpwstr>9בX</vt:lpwstr>
  </property>
  <property fmtid="{D5CDD505-2E9C-101B-9397-08002B2CF9AE}" pid="22" name="NOSE11">
    <vt:lpwstr>רשויות ומשפט מנהלי</vt:lpwstr>
  </property>
  <property fmtid="{D5CDD505-2E9C-101B-9397-08002B2CF9AE}" pid="23" name="NOSE21">
    <vt:lpwstr>רשויות מקומיות</vt:lpwstr>
  </property>
  <property fmtid="{D5CDD505-2E9C-101B-9397-08002B2CF9AE}" pid="24" name="NOSE31">
    <vt:lpwstr>מסי שלטון מקומי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  <property fmtid="{D5CDD505-2E9C-101B-9397-08002B2CF9AE}" pid="63" name="MEKOR_NAME2">
    <vt:lpwstr>פקודת המועצות המקומיות [נוסח חדש]</vt:lpwstr>
  </property>
  <property fmtid="{D5CDD505-2E9C-101B-9397-08002B2CF9AE}" pid="64" name="MEKOR_SAIF2">
    <vt:lpwstr>34אX</vt:lpwstr>
  </property>
  <property fmtid="{D5CDD505-2E9C-101B-9397-08002B2CF9AE}" pid="65" name="LINKK2">
    <vt:lpwstr/>
  </property>
  <property fmtid="{D5CDD505-2E9C-101B-9397-08002B2CF9AE}" pid="66" name="LINKK1">
    <vt:lpwstr>http://www.nevo.co.il/Law_word/law06/tak-7466.pdf;‎רשומות - תקנות כלליות#פורסם ק"ת תשע"ה ‏מס' 7466 #מיום 30.12.2014 עמ' 494‏</vt:lpwstr>
  </property>
  <property fmtid="{D5CDD505-2E9C-101B-9397-08002B2CF9AE}" pid="67" name="MEKOR_LAWID1">
    <vt:lpwstr>74255</vt:lpwstr>
  </property>
  <property fmtid="{D5CDD505-2E9C-101B-9397-08002B2CF9AE}" pid="68" name="MEKOR_LAWID2">
    <vt:lpwstr>70326</vt:lpwstr>
  </property>
</Properties>
</file>