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5E9" w:rsidRDefault="008E20FC" w:rsidP="00D6155C">
      <w:pPr>
        <w:pStyle w:val="big-header"/>
        <w:ind w:left="0" w:right="1134"/>
        <w:rPr>
          <w:rFonts w:cs="FrankRuehl" w:hint="cs"/>
          <w:sz w:val="32"/>
          <w:rtl/>
        </w:rPr>
      </w:pPr>
      <w:r>
        <w:rPr>
          <w:rFonts w:cs="FrankRuehl" w:hint="cs"/>
          <w:sz w:val="32"/>
          <w:rtl/>
        </w:rPr>
        <w:t>צו</w:t>
      </w:r>
      <w:r w:rsidR="000E22CB">
        <w:rPr>
          <w:rFonts w:cs="FrankRuehl" w:hint="cs"/>
          <w:sz w:val="32"/>
          <w:rtl/>
        </w:rPr>
        <w:t xml:space="preserve"> העיריות (חלוקת הכנסות בין עיריית </w:t>
      </w:r>
      <w:r w:rsidR="00BB2313">
        <w:rPr>
          <w:rFonts w:cs="FrankRuehl" w:hint="cs"/>
          <w:sz w:val="32"/>
          <w:rtl/>
        </w:rPr>
        <w:t>שדרות</w:t>
      </w:r>
      <w:r w:rsidR="001B182D">
        <w:rPr>
          <w:rFonts w:cs="FrankRuehl" w:hint="cs"/>
          <w:sz w:val="32"/>
          <w:rtl/>
        </w:rPr>
        <w:t xml:space="preserve"> לבין </w:t>
      </w:r>
      <w:r w:rsidR="00230751">
        <w:rPr>
          <w:rFonts w:cs="FrankRuehl" w:hint="cs"/>
          <w:sz w:val="32"/>
          <w:rtl/>
        </w:rPr>
        <w:t xml:space="preserve">המועצה האזורית </w:t>
      </w:r>
      <w:r w:rsidR="00BB2313">
        <w:rPr>
          <w:rFonts w:cs="FrankRuehl" w:hint="cs"/>
          <w:sz w:val="32"/>
          <w:rtl/>
        </w:rPr>
        <w:t>שער הנגב</w:t>
      </w:r>
      <w:r>
        <w:rPr>
          <w:rFonts w:cs="FrankRuehl" w:hint="cs"/>
          <w:sz w:val="32"/>
          <w:rtl/>
        </w:rPr>
        <w:t xml:space="preserve">), </w:t>
      </w:r>
      <w:r w:rsidR="001B182D">
        <w:rPr>
          <w:rFonts w:cs="FrankRuehl" w:hint="cs"/>
          <w:sz w:val="32"/>
          <w:rtl/>
        </w:rPr>
        <w:t>תש</w:t>
      </w:r>
      <w:r w:rsidR="00BB2313">
        <w:rPr>
          <w:rFonts w:cs="FrankRuehl" w:hint="cs"/>
          <w:sz w:val="32"/>
          <w:rtl/>
        </w:rPr>
        <w:t>פ"א</w:t>
      </w:r>
      <w:r w:rsidR="001B182D">
        <w:rPr>
          <w:rFonts w:cs="FrankRuehl" w:hint="cs"/>
          <w:sz w:val="32"/>
          <w:rtl/>
        </w:rPr>
        <w:t>-2020</w:t>
      </w:r>
    </w:p>
    <w:p w:rsidR="008E20FC" w:rsidRPr="008E20FC" w:rsidRDefault="008E20FC" w:rsidP="008E20FC">
      <w:pPr>
        <w:spacing w:line="320" w:lineRule="auto"/>
        <w:rPr>
          <w:rFonts w:cs="FrankRuehl"/>
          <w:szCs w:val="26"/>
          <w:rtl/>
        </w:rPr>
      </w:pPr>
    </w:p>
    <w:p w:rsidR="008E20FC" w:rsidRDefault="008E20FC" w:rsidP="008E20FC">
      <w:pPr>
        <w:spacing w:line="320" w:lineRule="auto"/>
        <w:rPr>
          <w:rtl/>
        </w:rPr>
      </w:pPr>
    </w:p>
    <w:p w:rsidR="008E20FC" w:rsidRPr="008E20FC" w:rsidRDefault="008E20FC" w:rsidP="008E20FC">
      <w:pPr>
        <w:spacing w:line="320" w:lineRule="auto"/>
        <w:rPr>
          <w:rFonts w:cs="Miriam"/>
          <w:szCs w:val="22"/>
        </w:rPr>
      </w:pPr>
      <w:r w:rsidRPr="008E20FC">
        <w:rPr>
          <w:rFonts w:cs="Miriam"/>
          <w:szCs w:val="22"/>
          <w:rtl/>
        </w:rPr>
        <w:t>רשויות ומשפט מנהלי</w:t>
      </w:r>
      <w:r w:rsidRPr="008E20FC">
        <w:rPr>
          <w:rFonts w:cs="FrankRuehl"/>
          <w:szCs w:val="26"/>
        </w:rPr>
        <w:t xml:space="preserve"> – </w:t>
      </w:r>
      <w:r w:rsidRPr="008E20FC">
        <w:rPr>
          <w:rFonts w:cs="FrankRuehl"/>
          <w:szCs w:val="26"/>
          <w:rtl/>
        </w:rPr>
        <w:t>רשויות מקומיות</w:t>
      </w:r>
      <w:r w:rsidRPr="008E20FC">
        <w:rPr>
          <w:rFonts w:cs="FrankRuehl"/>
          <w:szCs w:val="26"/>
        </w:rPr>
        <w:t xml:space="preserve"> – </w:t>
      </w:r>
      <w:r w:rsidRPr="008E20FC">
        <w:rPr>
          <w:rFonts w:cs="FrankRuehl"/>
          <w:szCs w:val="26"/>
          <w:rtl/>
        </w:rPr>
        <w:t>מסי שלטון מקומי</w:t>
      </w:r>
    </w:p>
    <w:p w:rsidR="009E35E9" w:rsidRDefault="009E35E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36F5C" w:rsidRPr="00036F5C" w:rsidTr="00036F5C">
        <w:tblPrEx>
          <w:tblCellMar>
            <w:top w:w="0" w:type="dxa"/>
            <w:bottom w:w="0" w:type="dxa"/>
          </w:tblCellMar>
        </w:tblPrEx>
        <w:tc>
          <w:tcPr>
            <w:tcW w:w="1247" w:type="dxa"/>
          </w:tcPr>
          <w:p w:rsidR="00036F5C" w:rsidRPr="00036F5C" w:rsidRDefault="00036F5C" w:rsidP="00036F5C">
            <w:pPr>
              <w:rPr>
                <w:rFonts w:cs="Frankruhel" w:hint="cs"/>
                <w:rtl/>
              </w:rPr>
            </w:pPr>
            <w:r>
              <w:rPr>
                <w:rtl/>
              </w:rPr>
              <w:t xml:space="preserve">סעיף 1 </w:t>
            </w:r>
          </w:p>
        </w:tc>
        <w:tc>
          <w:tcPr>
            <w:tcW w:w="5669" w:type="dxa"/>
          </w:tcPr>
          <w:p w:rsidR="00036F5C" w:rsidRPr="00036F5C" w:rsidRDefault="00036F5C" w:rsidP="00036F5C">
            <w:pPr>
              <w:rPr>
                <w:rFonts w:cs="Frankruhel" w:hint="cs"/>
                <w:rtl/>
              </w:rPr>
            </w:pPr>
            <w:r>
              <w:rPr>
                <w:rtl/>
              </w:rPr>
              <w:t>הגדרות</w:t>
            </w:r>
          </w:p>
        </w:tc>
        <w:tc>
          <w:tcPr>
            <w:tcW w:w="567" w:type="dxa"/>
          </w:tcPr>
          <w:p w:rsidR="00036F5C" w:rsidRPr="00036F5C" w:rsidRDefault="00036F5C" w:rsidP="00036F5C">
            <w:pPr>
              <w:rPr>
                <w:rStyle w:val="Hyperlink"/>
                <w:rFonts w:hint="cs"/>
                <w:rtl/>
              </w:rPr>
            </w:pPr>
            <w:hyperlink w:anchor="Seif1" w:tooltip="הגדרות" w:history="1">
              <w:r w:rsidRPr="00036F5C">
                <w:rPr>
                  <w:rStyle w:val="Hyperlink"/>
                </w:rPr>
                <w:t>Go</w:t>
              </w:r>
            </w:hyperlink>
          </w:p>
        </w:tc>
        <w:tc>
          <w:tcPr>
            <w:tcW w:w="850" w:type="dxa"/>
          </w:tcPr>
          <w:p w:rsidR="00036F5C" w:rsidRPr="00036F5C" w:rsidRDefault="00036F5C" w:rsidP="00036F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36F5C" w:rsidRPr="00036F5C" w:rsidTr="00036F5C">
        <w:tblPrEx>
          <w:tblCellMar>
            <w:top w:w="0" w:type="dxa"/>
            <w:bottom w:w="0" w:type="dxa"/>
          </w:tblCellMar>
        </w:tblPrEx>
        <w:tc>
          <w:tcPr>
            <w:tcW w:w="1247" w:type="dxa"/>
          </w:tcPr>
          <w:p w:rsidR="00036F5C" w:rsidRPr="00036F5C" w:rsidRDefault="00036F5C" w:rsidP="00036F5C">
            <w:pPr>
              <w:rPr>
                <w:rFonts w:cs="Frankruhel" w:hint="cs"/>
                <w:rtl/>
              </w:rPr>
            </w:pPr>
            <w:r>
              <w:rPr>
                <w:rtl/>
              </w:rPr>
              <w:t xml:space="preserve">סעיף 2 </w:t>
            </w:r>
          </w:p>
        </w:tc>
        <w:tc>
          <w:tcPr>
            <w:tcW w:w="5669" w:type="dxa"/>
          </w:tcPr>
          <w:p w:rsidR="00036F5C" w:rsidRPr="00036F5C" w:rsidRDefault="00036F5C" w:rsidP="00036F5C">
            <w:pPr>
              <w:rPr>
                <w:rFonts w:cs="Frankruhel" w:hint="cs"/>
                <w:rtl/>
              </w:rPr>
            </w:pPr>
            <w:r>
              <w:rPr>
                <w:rtl/>
              </w:rPr>
              <w:t>הכרזה על אזור חלוקת הכנסות</w:t>
            </w:r>
          </w:p>
        </w:tc>
        <w:tc>
          <w:tcPr>
            <w:tcW w:w="567" w:type="dxa"/>
          </w:tcPr>
          <w:p w:rsidR="00036F5C" w:rsidRPr="00036F5C" w:rsidRDefault="00036F5C" w:rsidP="00036F5C">
            <w:pPr>
              <w:rPr>
                <w:rStyle w:val="Hyperlink"/>
                <w:rFonts w:hint="cs"/>
                <w:rtl/>
              </w:rPr>
            </w:pPr>
            <w:hyperlink w:anchor="Seif2" w:tooltip="הכרזה על אזור חלוקת הכנסות" w:history="1">
              <w:r w:rsidRPr="00036F5C">
                <w:rPr>
                  <w:rStyle w:val="Hyperlink"/>
                </w:rPr>
                <w:t>Go</w:t>
              </w:r>
            </w:hyperlink>
          </w:p>
        </w:tc>
        <w:tc>
          <w:tcPr>
            <w:tcW w:w="850" w:type="dxa"/>
          </w:tcPr>
          <w:p w:rsidR="00036F5C" w:rsidRPr="00036F5C" w:rsidRDefault="00036F5C" w:rsidP="00036F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36F5C" w:rsidRPr="00036F5C" w:rsidTr="00036F5C">
        <w:tblPrEx>
          <w:tblCellMar>
            <w:top w:w="0" w:type="dxa"/>
            <w:bottom w:w="0" w:type="dxa"/>
          </w:tblCellMar>
        </w:tblPrEx>
        <w:tc>
          <w:tcPr>
            <w:tcW w:w="1247" w:type="dxa"/>
          </w:tcPr>
          <w:p w:rsidR="00036F5C" w:rsidRPr="00036F5C" w:rsidRDefault="00036F5C" w:rsidP="00036F5C">
            <w:pPr>
              <w:rPr>
                <w:rFonts w:cs="Frankruhel" w:hint="cs"/>
                <w:rtl/>
              </w:rPr>
            </w:pPr>
            <w:r>
              <w:rPr>
                <w:rtl/>
              </w:rPr>
              <w:t xml:space="preserve">סעיף 3 </w:t>
            </w:r>
          </w:p>
        </w:tc>
        <w:tc>
          <w:tcPr>
            <w:tcW w:w="5669" w:type="dxa"/>
          </w:tcPr>
          <w:p w:rsidR="00036F5C" w:rsidRPr="00036F5C" w:rsidRDefault="00036F5C" w:rsidP="00036F5C">
            <w:pPr>
              <w:rPr>
                <w:rFonts w:cs="Frankruhel" w:hint="cs"/>
                <w:rtl/>
              </w:rPr>
            </w:pPr>
            <w:r>
              <w:rPr>
                <w:rtl/>
              </w:rPr>
              <w:t>אופן חלוקת עודף ההכנסות</w:t>
            </w:r>
          </w:p>
        </w:tc>
        <w:tc>
          <w:tcPr>
            <w:tcW w:w="567" w:type="dxa"/>
          </w:tcPr>
          <w:p w:rsidR="00036F5C" w:rsidRPr="00036F5C" w:rsidRDefault="00036F5C" w:rsidP="00036F5C">
            <w:pPr>
              <w:rPr>
                <w:rStyle w:val="Hyperlink"/>
                <w:rFonts w:hint="cs"/>
                <w:rtl/>
              </w:rPr>
            </w:pPr>
            <w:hyperlink w:anchor="Seif3" w:tooltip="אופן חלוקת עודף ההכנסות" w:history="1">
              <w:r w:rsidRPr="00036F5C">
                <w:rPr>
                  <w:rStyle w:val="Hyperlink"/>
                </w:rPr>
                <w:t>Go</w:t>
              </w:r>
            </w:hyperlink>
          </w:p>
        </w:tc>
        <w:tc>
          <w:tcPr>
            <w:tcW w:w="850" w:type="dxa"/>
          </w:tcPr>
          <w:p w:rsidR="00036F5C" w:rsidRPr="00036F5C" w:rsidRDefault="00036F5C" w:rsidP="00036F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036F5C" w:rsidRPr="00036F5C" w:rsidTr="00036F5C">
        <w:tblPrEx>
          <w:tblCellMar>
            <w:top w:w="0" w:type="dxa"/>
            <w:bottom w:w="0" w:type="dxa"/>
          </w:tblCellMar>
        </w:tblPrEx>
        <w:tc>
          <w:tcPr>
            <w:tcW w:w="1247" w:type="dxa"/>
          </w:tcPr>
          <w:p w:rsidR="00036F5C" w:rsidRPr="00036F5C" w:rsidRDefault="00036F5C" w:rsidP="00036F5C">
            <w:pPr>
              <w:rPr>
                <w:rFonts w:cs="Frankruhel" w:hint="cs"/>
                <w:rtl/>
              </w:rPr>
            </w:pPr>
            <w:r>
              <w:rPr>
                <w:rtl/>
              </w:rPr>
              <w:t xml:space="preserve">סעיף 4 </w:t>
            </w:r>
          </w:p>
        </w:tc>
        <w:tc>
          <w:tcPr>
            <w:tcW w:w="5669" w:type="dxa"/>
          </w:tcPr>
          <w:p w:rsidR="00036F5C" w:rsidRPr="00036F5C" w:rsidRDefault="00036F5C" w:rsidP="00036F5C">
            <w:pPr>
              <w:rPr>
                <w:rFonts w:cs="Frankruhel" w:hint="cs"/>
                <w:rtl/>
              </w:rPr>
            </w:pPr>
            <w:r>
              <w:rPr>
                <w:rtl/>
              </w:rPr>
              <w:t>תשלום ודיווח</w:t>
            </w:r>
          </w:p>
        </w:tc>
        <w:tc>
          <w:tcPr>
            <w:tcW w:w="567" w:type="dxa"/>
          </w:tcPr>
          <w:p w:rsidR="00036F5C" w:rsidRPr="00036F5C" w:rsidRDefault="00036F5C" w:rsidP="00036F5C">
            <w:pPr>
              <w:rPr>
                <w:rStyle w:val="Hyperlink"/>
                <w:rFonts w:hint="cs"/>
                <w:rtl/>
              </w:rPr>
            </w:pPr>
            <w:hyperlink w:anchor="Seif4" w:tooltip="תשלום ודיווח" w:history="1">
              <w:r w:rsidRPr="00036F5C">
                <w:rPr>
                  <w:rStyle w:val="Hyperlink"/>
                </w:rPr>
                <w:t>Go</w:t>
              </w:r>
            </w:hyperlink>
          </w:p>
        </w:tc>
        <w:tc>
          <w:tcPr>
            <w:tcW w:w="850" w:type="dxa"/>
          </w:tcPr>
          <w:p w:rsidR="00036F5C" w:rsidRPr="00036F5C" w:rsidRDefault="00036F5C" w:rsidP="00036F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036F5C" w:rsidRPr="00036F5C" w:rsidTr="00036F5C">
        <w:tblPrEx>
          <w:tblCellMar>
            <w:top w:w="0" w:type="dxa"/>
            <w:bottom w:w="0" w:type="dxa"/>
          </w:tblCellMar>
        </w:tblPrEx>
        <w:tc>
          <w:tcPr>
            <w:tcW w:w="1247" w:type="dxa"/>
          </w:tcPr>
          <w:p w:rsidR="00036F5C" w:rsidRPr="00036F5C" w:rsidRDefault="00036F5C" w:rsidP="00036F5C">
            <w:pPr>
              <w:rPr>
                <w:rFonts w:cs="Frankruhel" w:hint="cs"/>
                <w:rtl/>
              </w:rPr>
            </w:pPr>
            <w:r>
              <w:rPr>
                <w:rtl/>
              </w:rPr>
              <w:t xml:space="preserve">סעיף 5 </w:t>
            </w:r>
          </w:p>
        </w:tc>
        <w:tc>
          <w:tcPr>
            <w:tcW w:w="5669" w:type="dxa"/>
          </w:tcPr>
          <w:p w:rsidR="00036F5C" w:rsidRPr="00036F5C" w:rsidRDefault="00036F5C" w:rsidP="00036F5C">
            <w:pPr>
              <w:rPr>
                <w:rFonts w:cs="Frankruhel" w:hint="cs"/>
                <w:rtl/>
              </w:rPr>
            </w:pPr>
            <w:r>
              <w:rPr>
                <w:rtl/>
              </w:rPr>
              <w:t>ריבית</w:t>
            </w:r>
          </w:p>
        </w:tc>
        <w:tc>
          <w:tcPr>
            <w:tcW w:w="567" w:type="dxa"/>
          </w:tcPr>
          <w:p w:rsidR="00036F5C" w:rsidRPr="00036F5C" w:rsidRDefault="00036F5C" w:rsidP="00036F5C">
            <w:pPr>
              <w:rPr>
                <w:rStyle w:val="Hyperlink"/>
                <w:rFonts w:hint="cs"/>
                <w:rtl/>
              </w:rPr>
            </w:pPr>
            <w:hyperlink w:anchor="Seif5" w:tooltip="ריבית" w:history="1">
              <w:r w:rsidRPr="00036F5C">
                <w:rPr>
                  <w:rStyle w:val="Hyperlink"/>
                </w:rPr>
                <w:t>Go</w:t>
              </w:r>
            </w:hyperlink>
          </w:p>
        </w:tc>
        <w:tc>
          <w:tcPr>
            <w:tcW w:w="850" w:type="dxa"/>
          </w:tcPr>
          <w:p w:rsidR="00036F5C" w:rsidRPr="00036F5C" w:rsidRDefault="00036F5C" w:rsidP="00036F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bl>
    <w:p w:rsidR="009E35E9" w:rsidRDefault="009E35E9">
      <w:pPr>
        <w:pStyle w:val="big-header"/>
        <w:ind w:left="0" w:right="1134"/>
        <w:rPr>
          <w:rFonts w:cs="FrankRuehl" w:hint="cs"/>
          <w:sz w:val="32"/>
          <w:rtl/>
        </w:rPr>
      </w:pPr>
    </w:p>
    <w:p w:rsidR="009E35E9" w:rsidRDefault="009E35E9" w:rsidP="00D6155C">
      <w:pPr>
        <w:pStyle w:val="big-header"/>
        <w:ind w:left="0" w:right="1134"/>
        <w:rPr>
          <w:rStyle w:val="default"/>
          <w:rFonts w:hint="cs"/>
          <w:sz w:val="22"/>
          <w:szCs w:val="22"/>
          <w:rtl/>
        </w:rPr>
      </w:pPr>
      <w:r>
        <w:rPr>
          <w:rFonts w:cs="FrankRuehl"/>
          <w:sz w:val="32"/>
          <w:rtl/>
        </w:rPr>
        <w:br w:type="page"/>
      </w:r>
      <w:r w:rsidR="00230751">
        <w:rPr>
          <w:rFonts w:cs="FrankRuehl" w:hint="cs"/>
          <w:sz w:val="32"/>
          <w:rtl/>
        </w:rPr>
        <w:lastRenderedPageBreak/>
        <w:t>צו העיריות (</w:t>
      </w:r>
      <w:r w:rsidR="00BB2313">
        <w:rPr>
          <w:rFonts w:cs="FrankRuehl" w:hint="cs"/>
          <w:sz w:val="32"/>
          <w:rtl/>
        </w:rPr>
        <w:t>חלוקת הכנסות בין עיריית שדרות לבין המועצה האזורית שער הנגב), תשפ"א-2020</w:t>
      </w:r>
      <w:r>
        <w:rPr>
          <w:rStyle w:val="default"/>
          <w:sz w:val="22"/>
          <w:szCs w:val="22"/>
          <w:rtl/>
        </w:rPr>
        <w:footnoteReference w:customMarkFollows="1" w:id="1"/>
        <w:t>*</w:t>
      </w:r>
    </w:p>
    <w:p w:rsidR="009E35E9" w:rsidRDefault="009E35E9" w:rsidP="00FE70C1">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סמכותי לפי </w:t>
      </w:r>
      <w:r w:rsidR="008E20FC">
        <w:rPr>
          <w:rStyle w:val="default"/>
          <w:rFonts w:cs="FrankRuehl" w:hint="cs"/>
          <w:rtl/>
        </w:rPr>
        <w:t>סעיף 9ב</w:t>
      </w:r>
      <w:r>
        <w:rPr>
          <w:rStyle w:val="default"/>
          <w:rFonts w:cs="FrankRuehl"/>
          <w:rtl/>
        </w:rPr>
        <w:t xml:space="preserve"> לפקודת העיריות</w:t>
      </w:r>
      <w:r w:rsidR="00230751">
        <w:rPr>
          <w:rStyle w:val="default"/>
          <w:rFonts w:cs="FrankRuehl" w:hint="cs"/>
          <w:rtl/>
        </w:rPr>
        <w:t>,</w:t>
      </w:r>
      <w:r w:rsidR="008E20FC">
        <w:rPr>
          <w:rStyle w:val="default"/>
          <w:rFonts w:cs="FrankRuehl" w:hint="cs"/>
          <w:rtl/>
        </w:rPr>
        <w:t xml:space="preserve"> וסעיף 34א לפקודת המועצות המקומיות, בהסכמת שר האוצר ולאחר עיון בתסקיר של ועדת חקירה לחלוקת הכנסות, אני מכריז ומצווה לאמור</w:t>
      </w:r>
      <w:r>
        <w:rPr>
          <w:rStyle w:val="default"/>
          <w:rFonts w:cs="FrankRuehl"/>
          <w:rtl/>
        </w:rPr>
        <w:t>:</w:t>
      </w:r>
    </w:p>
    <w:p w:rsidR="009E35E9" w:rsidRDefault="009E35E9" w:rsidP="008E20FC">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2.95pt;z-index:251655680" o:allowincell="f" filled="f" stroked="f" strokecolor="lime" strokeweight=".25pt">
            <v:textbox style="mso-next-textbox:#_x0000_s1026" inset="0,0,0,0">
              <w:txbxContent>
                <w:p w:rsidR="009E35E9" w:rsidRDefault="009E35E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E20FC">
        <w:rPr>
          <w:rStyle w:val="default"/>
          <w:rFonts w:cs="FrankRuehl" w:hint="cs"/>
          <w:rtl/>
        </w:rPr>
        <w:t>בצו זה</w:t>
      </w:r>
      <w:r>
        <w:rPr>
          <w:rStyle w:val="default"/>
          <w:rFonts w:cs="FrankRuehl"/>
          <w:rtl/>
        </w:rPr>
        <w:t xml:space="preserve"> –</w:t>
      </w:r>
    </w:p>
    <w:p w:rsidR="00FE70C1" w:rsidRDefault="00FE70C1" w:rsidP="00D35C20">
      <w:pPr>
        <w:pStyle w:val="P00"/>
        <w:spacing w:before="72"/>
        <w:ind w:left="0" w:right="1134"/>
        <w:rPr>
          <w:rStyle w:val="default"/>
          <w:rFonts w:cs="FrankRuehl" w:hint="cs"/>
          <w:rtl/>
        </w:rPr>
      </w:pPr>
      <w:r>
        <w:rPr>
          <w:rStyle w:val="default"/>
          <w:rFonts w:cs="FrankRuehl" w:hint="cs"/>
          <w:rtl/>
        </w:rPr>
        <w:tab/>
        <w:t xml:space="preserve">"הכנסות" </w:t>
      </w:r>
      <w:r>
        <w:rPr>
          <w:rStyle w:val="default"/>
          <w:rFonts w:cs="FrankRuehl"/>
          <w:rtl/>
        </w:rPr>
        <w:t>–</w:t>
      </w:r>
      <w:r>
        <w:rPr>
          <w:rStyle w:val="default"/>
          <w:rFonts w:cs="FrankRuehl" w:hint="cs"/>
          <w:rtl/>
        </w:rPr>
        <w:t xml:space="preserve"> הכנסות מארנונה כללית</w:t>
      </w:r>
      <w:r w:rsidR="00D35C20">
        <w:rPr>
          <w:rStyle w:val="default"/>
          <w:rFonts w:cs="FrankRuehl" w:hint="cs"/>
          <w:rtl/>
        </w:rPr>
        <w:t xml:space="preserve"> </w:t>
      </w:r>
      <w:r>
        <w:rPr>
          <w:rStyle w:val="default"/>
          <w:rFonts w:cs="FrankRuehl" w:hint="cs"/>
          <w:rtl/>
        </w:rPr>
        <w:t>המתקבלות מאזור</w:t>
      </w:r>
      <w:r w:rsidR="00385044">
        <w:rPr>
          <w:rStyle w:val="default"/>
          <w:rFonts w:cs="FrankRuehl" w:hint="cs"/>
          <w:rtl/>
        </w:rPr>
        <w:t>י</w:t>
      </w:r>
      <w:r>
        <w:rPr>
          <w:rStyle w:val="default"/>
          <w:rFonts w:cs="FrankRuehl" w:hint="cs"/>
          <w:rtl/>
        </w:rPr>
        <w:t xml:space="preserve"> חלוקת ההכנסות </w:t>
      </w:r>
      <w:r w:rsidR="00385044">
        <w:rPr>
          <w:rStyle w:val="default"/>
          <w:rFonts w:cs="FrankRuehl" w:hint="cs"/>
          <w:rtl/>
        </w:rPr>
        <w:t>כהגדרתם</w:t>
      </w:r>
      <w:r w:rsidR="00D35C20">
        <w:rPr>
          <w:rStyle w:val="default"/>
          <w:rFonts w:cs="FrankRuehl" w:hint="cs"/>
          <w:rtl/>
        </w:rPr>
        <w:t xml:space="preserve"> </w:t>
      </w:r>
      <w:r>
        <w:rPr>
          <w:rStyle w:val="default"/>
          <w:rFonts w:cs="FrankRuehl" w:hint="cs"/>
          <w:rtl/>
        </w:rPr>
        <w:t>בסעיף 2</w:t>
      </w:r>
      <w:r w:rsidR="00385044">
        <w:rPr>
          <w:rStyle w:val="default"/>
          <w:rFonts w:cs="FrankRuehl" w:hint="cs"/>
          <w:rtl/>
        </w:rPr>
        <w:t>(א)</w:t>
      </w:r>
      <w:r>
        <w:rPr>
          <w:rStyle w:val="default"/>
          <w:rFonts w:cs="FrankRuehl" w:hint="cs"/>
          <w:rtl/>
        </w:rPr>
        <w:t>;</w:t>
      </w:r>
    </w:p>
    <w:p w:rsidR="008E20FC" w:rsidRDefault="008E20FC" w:rsidP="00D35C20">
      <w:pPr>
        <w:pStyle w:val="P00"/>
        <w:spacing w:before="72"/>
        <w:ind w:left="0" w:right="1134"/>
        <w:rPr>
          <w:rStyle w:val="default"/>
          <w:rFonts w:cs="FrankRuehl"/>
          <w:rtl/>
        </w:rPr>
      </w:pPr>
      <w:r>
        <w:rPr>
          <w:rStyle w:val="default"/>
          <w:rFonts w:cs="FrankRuehl" w:hint="cs"/>
          <w:rtl/>
        </w:rPr>
        <w:tab/>
        <w:t xml:space="preserve">"מפה" </w:t>
      </w:r>
      <w:r>
        <w:rPr>
          <w:rStyle w:val="default"/>
          <w:rFonts w:cs="FrankRuehl"/>
          <w:rtl/>
        </w:rPr>
        <w:t>–</w:t>
      </w:r>
      <w:r>
        <w:rPr>
          <w:rStyle w:val="default"/>
          <w:rFonts w:cs="FrankRuehl" w:hint="cs"/>
          <w:rtl/>
        </w:rPr>
        <w:t xml:space="preserve"> מפת אזור</w:t>
      </w:r>
      <w:r w:rsidR="00385044">
        <w:rPr>
          <w:rStyle w:val="default"/>
          <w:rFonts w:cs="FrankRuehl" w:hint="cs"/>
          <w:rtl/>
        </w:rPr>
        <w:t>י</w:t>
      </w:r>
      <w:r>
        <w:rPr>
          <w:rStyle w:val="default"/>
          <w:rFonts w:cs="FrankRuehl" w:hint="cs"/>
          <w:rtl/>
        </w:rPr>
        <w:t xml:space="preserve"> חלוקת ההכנס</w:t>
      </w:r>
      <w:r w:rsidR="007E7202">
        <w:rPr>
          <w:rStyle w:val="default"/>
          <w:rFonts w:cs="FrankRuehl" w:hint="cs"/>
          <w:rtl/>
        </w:rPr>
        <w:t>ות הערוכה בקנה מידה 1:1</w:t>
      </w:r>
      <w:r>
        <w:rPr>
          <w:rStyle w:val="default"/>
          <w:rFonts w:cs="FrankRuehl" w:hint="cs"/>
          <w:rtl/>
        </w:rPr>
        <w:t xml:space="preserve">0,000 החתומה ביד שר הפנים ביום </w:t>
      </w:r>
      <w:r w:rsidR="00385044">
        <w:rPr>
          <w:rStyle w:val="default"/>
          <w:rFonts w:cs="FrankRuehl" w:hint="cs"/>
          <w:rtl/>
        </w:rPr>
        <w:t>ו' בכסלו התשפ"א (22 בנובמבר</w:t>
      </w:r>
      <w:r w:rsidR="001B182D">
        <w:rPr>
          <w:rStyle w:val="default"/>
          <w:rFonts w:cs="FrankRuehl" w:hint="cs"/>
          <w:rtl/>
        </w:rPr>
        <w:t xml:space="preserve"> 2020</w:t>
      </w:r>
      <w:r>
        <w:rPr>
          <w:rStyle w:val="default"/>
          <w:rFonts w:cs="FrankRuehl" w:hint="cs"/>
          <w:rtl/>
        </w:rPr>
        <w:t>) ושהעתקים ממנה מופקדים במשרד הפנים</w:t>
      </w:r>
      <w:r w:rsidR="00385044">
        <w:rPr>
          <w:rStyle w:val="default"/>
          <w:rFonts w:cs="FrankRuehl" w:hint="cs"/>
          <w:rtl/>
        </w:rPr>
        <w:t>,</w:t>
      </w:r>
      <w:r>
        <w:rPr>
          <w:rStyle w:val="default"/>
          <w:rFonts w:cs="FrankRuehl" w:hint="cs"/>
          <w:rtl/>
        </w:rPr>
        <w:t xml:space="preserve"> ירושלים, במשרד הממונה על מחוז</w:t>
      </w:r>
      <w:r w:rsidR="009075F8">
        <w:rPr>
          <w:rStyle w:val="default"/>
          <w:rFonts w:cs="FrankRuehl" w:hint="cs"/>
          <w:rtl/>
        </w:rPr>
        <w:t xml:space="preserve"> </w:t>
      </w:r>
      <w:r w:rsidR="00385044">
        <w:rPr>
          <w:rStyle w:val="default"/>
          <w:rFonts w:cs="FrankRuehl" w:hint="cs"/>
          <w:rtl/>
        </w:rPr>
        <w:t>הדרום, באר שבע</w:t>
      </w:r>
      <w:r w:rsidR="001B182D">
        <w:rPr>
          <w:rStyle w:val="default"/>
          <w:rFonts w:cs="FrankRuehl" w:hint="cs"/>
          <w:rtl/>
        </w:rPr>
        <w:t>, ו</w:t>
      </w:r>
      <w:r w:rsidR="001914FE">
        <w:rPr>
          <w:rStyle w:val="default"/>
          <w:rFonts w:cs="FrankRuehl" w:hint="cs"/>
          <w:rtl/>
        </w:rPr>
        <w:t>במשרד</w:t>
      </w:r>
      <w:r w:rsidR="001B182D">
        <w:rPr>
          <w:rStyle w:val="default"/>
          <w:rFonts w:cs="FrankRuehl" w:hint="cs"/>
          <w:rtl/>
        </w:rPr>
        <w:t>י</w:t>
      </w:r>
      <w:r w:rsidR="001914FE">
        <w:rPr>
          <w:rStyle w:val="default"/>
          <w:rFonts w:cs="FrankRuehl" w:hint="cs"/>
          <w:rtl/>
        </w:rPr>
        <w:t xml:space="preserve"> </w:t>
      </w:r>
      <w:r w:rsidR="00385044">
        <w:rPr>
          <w:rStyle w:val="default"/>
          <w:rFonts w:cs="FrankRuehl" w:hint="cs"/>
          <w:rtl/>
        </w:rPr>
        <w:t>הרשויות המקומיות;</w:t>
      </w:r>
    </w:p>
    <w:p w:rsidR="00385044" w:rsidRDefault="00385044" w:rsidP="00D35C2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"עודף הכנסות" </w:t>
      </w:r>
      <w:r>
        <w:rPr>
          <w:rStyle w:val="default"/>
          <w:rFonts w:cs="FrankRuehl"/>
          <w:rtl/>
        </w:rPr>
        <w:t>–</w:t>
      </w:r>
      <w:r>
        <w:rPr>
          <w:rStyle w:val="default"/>
          <w:rFonts w:cs="FrankRuehl" w:hint="cs"/>
          <w:rtl/>
        </w:rPr>
        <w:t xml:space="preserve"> ההכנסות מארנונה כללית, בניכוי הוצאות שהוצאו בעד מתן שירותים מוניציפליים באזור חלוקת ההכנסות או בסמיכות לו, לרבות הוצאות גבייה ותפעול; הייתה מחלוקת בין הרשויות המקומיות על גובה ההוצאות כאמור, יכריע במחלוקת הממונה על מחוז הדרום במשרד הפנים;</w:t>
      </w:r>
    </w:p>
    <w:p w:rsidR="00385044" w:rsidRDefault="00385044" w:rsidP="00D35C2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"הרשויות המקומיות" </w:t>
      </w:r>
      <w:r>
        <w:rPr>
          <w:rStyle w:val="default"/>
          <w:rFonts w:cs="FrankRuehl"/>
          <w:rtl/>
        </w:rPr>
        <w:t>–</w:t>
      </w:r>
      <w:r>
        <w:rPr>
          <w:rStyle w:val="default"/>
          <w:rFonts w:cs="FrankRuehl" w:hint="cs"/>
          <w:rtl/>
        </w:rPr>
        <w:t xml:space="preserve"> עיריית שדרות והמועצה האזורית שער הנגב.</w:t>
      </w:r>
    </w:p>
    <w:p w:rsidR="009E35E9" w:rsidRDefault="009E35E9" w:rsidP="005F7323">
      <w:pPr>
        <w:pStyle w:val="P00"/>
        <w:spacing w:before="72"/>
        <w:ind w:left="0" w:right="1134"/>
        <w:rPr>
          <w:rStyle w:val="default"/>
          <w:rFonts w:cs="FrankRuehl" w:hint="cs"/>
          <w:rtl/>
        </w:rPr>
      </w:pPr>
      <w:bookmarkStart w:id="1" w:name="Seif2"/>
      <w:bookmarkEnd w:id="1"/>
      <w:r>
        <w:rPr>
          <w:rFonts w:cs="Miriam"/>
          <w:lang w:val="he-IL"/>
        </w:rPr>
        <w:pict>
          <v:rect id="_x0000_s1214" style="position:absolute;left:0;text-align:left;margin-left:464.35pt;margin-top:7.1pt;width:75.05pt;height:20.85pt;z-index:251656704" o:allowincell="f" filled="f" stroked="f" strokecolor="lime" strokeweight=".25pt">
            <v:textbox style="mso-next-textbox:#_x0000_s1214" inset="0,0,0,0">
              <w:txbxContent>
                <w:p w:rsidR="009E35E9" w:rsidRDefault="005F7323">
                  <w:pPr>
                    <w:spacing w:line="160" w:lineRule="exact"/>
                    <w:rPr>
                      <w:rFonts w:cs="Miriam" w:hint="cs"/>
                      <w:noProof/>
                      <w:sz w:val="18"/>
                      <w:szCs w:val="18"/>
                      <w:rtl/>
                    </w:rPr>
                  </w:pPr>
                  <w:r>
                    <w:rPr>
                      <w:rFonts w:cs="Miriam" w:hint="cs"/>
                      <w:sz w:val="18"/>
                      <w:szCs w:val="18"/>
                      <w:rtl/>
                    </w:rPr>
                    <w:t>הכרזה על אזור חלוקת הכנסות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A061B">
        <w:rPr>
          <w:rStyle w:val="big-number"/>
          <w:rFonts w:cs="FrankRuehl" w:hint="cs"/>
          <w:sz w:val="26"/>
          <w:szCs w:val="26"/>
          <w:rtl/>
        </w:rPr>
        <w:t>(א)</w:t>
      </w:r>
      <w:r w:rsidR="005A061B">
        <w:rPr>
          <w:rStyle w:val="big-number"/>
          <w:rFonts w:cs="FrankRuehl"/>
          <w:sz w:val="26"/>
          <w:szCs w:val="26"/>
          <w:rtl/>
        </w:rPr>
        <w:tab/>
      </w:r>
      <w:r w:rsidR="005F7323">
        <w:rPr>
          <w:rStyle w:val="default"/>
          <w:rFonts w:cs="FrankRuehl" w:hint="cs"/>
          <w:rtl/>
        </w:rPr>
        <w:t>אזור</w:t>
      </w:r>
      <w:r w:rsidR="005A061B">
        <w:rPr>
          <w:rStyle w:val="default"/>
          <w:rFonts w:cs="FrankRuehl" w:hint="cs"/>
          <w:rtl/>
        </w:rPr>
        <w:t>י</w:t>
      </w:r>
      <w:r w:rsidR="005F7323">
        <w:rPr>
          <w:rStyle w:val="default"/>
          <w:rFonts w:cs="FrankRuehl" w:hint="cs"/>
          <w:rtl/>
        </w:rPr>
        <w:t xml:space="preserve"> חלוקת ההכנסות כולל</w:t>
      </w:r>
      <w:r w:rsidR="005A061B">
        <w:rPr>
          <w:rStyle w:val="default"/>
          <w:rFonts w:cs="FrankRuehl" w:hint="cs"/>
          <w:rtl/>
        </w:rPr>
        <w:t>ים</w:t>
      </w:r>
      <w:r w:rsidR="005F7323">
        <w:rPr>
          <w:rStyle w:val="default"/>
          <w:rFonts w:cs="FrankRuehl" w:hint="cs"/>
          <w:rtl/>
        </w:rPr>
        <w:t xml:space="preserve"> גושים וחלקות רישום כ</w:t>
      </w:r>
      <w:r w:rsidR="001914FE">
        <w:rPr>
          <w:rStyle w:val="default"/>
          <w:rFonts w:cs="FrankRuehl" w:hint="cs"/>
          <w:rtl/>
        </w:rPr>
        <w:t xml:space="preserve">מפורט </w:t>
      </w:r>
      <w:r w:rsidR="005F7323">
        <w:rPr>
          <w:rStyle w:val="default"/>
          <w:rFonts w:cs="FrankRuehl" w:hint="cs"/>
          <w:rtl/>
        </w:rPr>
        <w:t>להלן</w:t>
      </w:r>
      <w:r w:rsidR="001914FE">
        <w:rPr>
          <w:rStyle w:val="default"/>
          <w:rFonts w:cs="FrankRuehl" w:hint="cs"/>
          <w:rtl/>
        </w:rPr>
        <w:t xml:space="preserve"> וכמסומן במפה</w:t>
      </w:r>
      <w:r w:rsidR="005F7323">
        <w:rPr>
          <w:rStyle w:val="default"/>
          <w:rFonts w:cs="FrankRuehl" w:hint="cs"/>
          <w:rtl/>
        </w:rPr>
        <w:t>:</w:t>
      </w:r>
    </w:p>
    <w:p w:rsidR="00D35C20" w:rsidRDefault="00D35C20" w:rsidP="005A061B">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sidR="005A061B">
        <w:rPr>
          <w:rStyle w:val="default"/>
          <w:rFonts w:cs="FrankRuehl" w:hint="cs"/>
          <w:rtl/>
        </w:rPr>
        <w:t xml:space="preserve">אזור א' </w:t>
      </w:r>
      <w:r w:rsidR="005A061B">
        <w:rPr>
          <w:rStyle w:val="default"/>
          <w:rFonts w:cs="FrankRuehl"/>
          <w:rtl/>
        </w:rPr>
        <w:t>–</w:t>
      </w:r>
    </w:p>
    <w:p w:rsidR="005A061B" w:rsidRDefault="005A061B" w:rsidP="005A061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גוש 2253 </w:t>
      </w:r>
      <w:r>
        <w:rPr>
          <w:rStyle w:val="default"/>
          <w:rFonts w:cs="FrankRuehl"/>
          <w:rtl/>
        </w:rPr>
        <w:t>–</w:t>
      </w:r>
      <w:r>
        <w:rPr>
          <w:rStyle w:val="default"/>
          <w:rFonts w:cs="FrankRuehl" w:hint="cs"/>
          <w:rtl/>
        </w:rPr>
        <w:t xml:space="preserve"> חלק מחלקות 4 ו-11;</w:t>
      </w:r>
    </w:p>
    <w:p w:rsidR="005A061B" w:rsidRDefault="005A061B" w:rsidP="005A061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גוש 2327 </w:t>
      </w:r>
      <w:r>
        <w:rPr>
          <w:rStyle w:val="default"/>
          <w:rFonts w:cs="FrankRuehl"/>
          <w:rtl/>
        </w:rPr>
        <w:t>–</w:t>
      </w:r>
      <w:r>
        <w:rPr>
          <w:rStyle w:val="default"/>
          <w:rFonts w:cs="FrankRuehl" w:hint="cs"/>
          <w:rtl/>
        </w:rPr>
        <w:t xml:space="preserve"> חלקות 9, 10 וחלק מחלקות 8, 11 ו-12;</w:t>
      </w:r>
    </w:p>
    <w:p w:rsidR="005A061B" w:rsidRDefault="005A061B" w:rsidP="005A06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אזור ב' </w:t>
      </w:r>
      <w:r>
        <w:rPr>
          <w:rStyle w:val="default"/>
          <w:rFonts w:cs="FrankRuehl"/>
          <w:rtl/>
        </w:rPr>
        <w:t>–</w:t>
      </w:r>
    </w:p>
    <w:p w:rsidR="005A061B" w:rsidRDefault="005A061B" w:rsidP="005A061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גוש 979 </w:t>
      </w:r>
      <w:r>
        <w:rPr>
          <w:rStyle w:val="default"/>
          <w:rFonts w:cs="FrankRuehl"/>
          <w:rtl/>
        </w:rPr>
        <w:t>–</w:t>
      </w:r>
      <w:r>
        <w:rPr>
          <w:rStyle w:val="default"/>
          <w:rFonts w:cs="FrankRuehl" w:hint="cs"/>
          <w:rtl/>
        </w:rPr>
        <w:t xml:space="preserve"> חלקה 19 וחלק מחלקה 41;</w:t>
      </w:r>
    </w:p>
    <w:p w:rsidR="005A061B" w:rsidRDefault="005A061B" w:rsidP="005A061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גוש 1886 </w:t>
      </w:r>
      <w:r>
        <w:rPr>
          <w:rStyle w:val="default"/>
          <w:rFonts w:cs="FrankRuehl"/>
          <w:rtl/>
        </w:rPr>
        <w:t>–</w:t>
      </w:r>
      <w:r>
        <w:rPr>
          <w:rStyle w:val="default"/>
          <w:rFonts w:cs="FrankRuehl" w:hint="cs"/>
          <w:rtl/>
        </w:rPr>
        <w:t xml:space="preserve"> חלקה 31;</w:t>
      </w:r>
    </w:p>
    <w:p w:rsidR="005A061B" w:rsidRDefault="005A061B" w:rsidP="005A061B">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גוש 2253 </w:t>
      </w:r>
      <w:r>
        <w:rPr>
          <w:rStyle w:val="default"/>
          <w:rFonts w:cs="FrankRuehl"/>
          <w:rtl/>
        </w:rPr>
        <w:t>–</w:t>
      </w:r>
      <w:r>
        <w:rPr>
          <w:rStyle w:val="default"/>
          <w:rFonts w:cs="FrankRuehl" w:hint="cs"/>
          <w:rtl/>
        </w:rPr>
        <w:t xml:space="preserve"> חלק מחלקה 11;</w:t>
      </w:r>
    </w:p>
    <w:p w:rsidR="005A061B" w:rsidRDefault="005A061B" w:rsidP="005A061B">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גוש 2292 </w:t>
      </w:r>
      <w:r>
        <w:rPr>
          <w:rStyle w:val="default"/>
          <w:rFonts w:cs="FrankRuehl"/>
          <w:rtl/>
        </w:rPr>
        <w:t>–</w:t>
      </w:r>
      <w:r>
        <w:rPr>
          <w:rStyle w:val="default"/>
          <w:rFonts w:cs="FrankRuehl" w:hint="cs"/>
          <w:rtl/>
        </w:rPr>
        <w:t xml:space="preserve"> חלק מחלקות 27, 33 ו-34;</w:t>
      </w:r>
    </w:p>
    <w:p w:rsidR="005A061B" w:rsidRDefault="005A061B" w:rsidP="005A061B">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גוש 2293 </w:t>
      </w:r>
      <w:r>
        <w:rPr>
          <w:rStyle w:val="default"/>
          <w:rFonts w:cs="FrankRuehl"/>
          <w:rtl/>
        </w:rPr>
        <w:t>–</w:t>
      </w:r>
      <w:r>
        <w:rPr>
          <w:rStyle w:val="default"/>
          <w:rFonts w:cs="FrankRuehl" w:hint="cs"/>
          <w:rtl/>
        </w:rPr>
        <w:t xml:space="preserve"> חלקה 7 וחלק מחלקות 3, 4, 10 ו-14;</w:t>
      </w:r>
    </w:p>
    <w:p w:rsidR="005A061B" w:rsidRDefault="005A061B" w:rsidP="005A061B">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גוש 2327 </w:t>
      </w:r>
      <w:r>
        <w:rPr>
          <w:rStyle w:val="default"/>
          <w:rFonts w:cs="FrankRuehl"/>
          <w:rtl/>
        </w:rPr>
        <w:t>–</w:t>
      </w:r>
      <w:r>
        <w:rPr>
          <w:rStyle w:val="default"/>
          <w:rFonts w:cs="FrankRuehl" w:hint="cs"/>
          <w:rtl/>
        </w:rPr>
        <w:t xml:space="preserve"> חלק מחלקה 8;</w:t>
      </w:r>
    </w:p>
    <w:p w:rsidR="005A061B" w:rsidRDefault="005A061B" w:rsidP="005A061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אזור ג' </w:t>
      </w:r>
      <w:r>
        <w:rPr>
          <w:rStyle w:val="default"/>
          <w:rFonts w:cs="FrankRuehl"/>
          <w:rtl/>
        </w:rPr>
        <w:t>–</w:t>
      </w:r>
    </w:p>
    <w:p w:rsidR="005A061B" w:rsidRDefault="005A061B" w:rsidP="005A061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גוש 979 </w:t>
      </w:r>
      <w:r>
        <w:rPr>
          <w:rStyle w:val="default"/>
          <w:rFonts w:cs="FrankRuehl"/>
          <w:rtl/>
        </w:rPr>
        <w:t>–</w:t>
      </w:r>
      <w:r>
        <w:rPr>
          <w:rStyle w:val="default"/>
          <w:rFonts w:cs="FrankRuehl" w:hint="cs"/>
          <w:rtl/>
        </w:rPr>
        <w:t xml:space="preserve"> חלקות 23, 32, 24, 26, 46 עד 49;</w:t>
      </w:r>
    </w:p>
    <w:p w:rsidR="005A061B" w:rsidRDefault="005A061B" w:rsidP="005A061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גוש 1889 </w:t>
      </w:r>
      <w:r>
        <w:rPr>
          <w:rStyle w:val="default"/>
          <w:rFonts w:cs="FrankRuehl"/>
          <w:rtl/>
        </w:rPr>
        <w:t>–</w:t>
      </w:r>
      <w:r>
        <w:rPr>
          <w:rStyle w:val="default"/>
          <w:rFonts w:cs="FrankRuehl" w:hint="cs"/>
          <w:rtl/>
        </w:rPr>
        <w:t xml:space="preserve"> חלקות 169 עד 176, 178 עד 194, 196, 198 עד 207, 209, 210, 212, 213, 215 עד 219 וחלק מחלקות 151, 163, 177, 197 ו-214;</w:t>
      </w:r>
    </w:p>
    <w:p w:rsidR="005A061B" w:rsidRDefault="005A061B" w:rsidP="005A061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אזור ד' </w:t>
      </w:r>
      <w:r>
        <w:rPr>
          <w:rStyle w:val="default"/>
          <w:rFonts w:cs="FrankRuehl"/>
          <w:rtl/>
        </w:rPr>
        <w:t>–</w:t>
      </w:r>
    </w:p>
    <w:p w:rsidR="005A061B" w:rsidRDefault="005A061B" w:rsidP="005A061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גוש 600 </w:t>
      </w:r>
      <w:r>
        <w:rPr>
          <w:rStyle w:val="default"/>
          <w:rFonts w:cs="FrankRuehl"/>
          <w:rtl/>
        </w:rPr>
        <w:t>–</w:t>
      </w:r>
      <w:r>
        <w:rPr>
          <w:rStyle w:val="default"/>
          <w:rFonts w:cs="FrankRuehl" w:hint="cs"/>
          <w:rtl/>
        </w:rPr>
        <w:t xml:space="preserve"> חלק מחלקות 8, 22 ו-24;</w:t>
      </w:r>
    </w:p>
    <w:p w:rsidR="005A061B" w:rsidRDefault="005A061B" w:rsidP="005A061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גוש 760 </w:t>
      </w:r>
      <w:r>
        <w:rPr>
          <w:rStyle w:val="default"/>
          <w:rFonts w:cs="FrankRuehl"/>
          <w:rtl/>
        </w:rPr>
        <w:t>–</w:t>
      </w:r>
      <w:r>
        <w:rPr>
          <w:rStyle w:val="default"/>
          <w:rFonts w:cs="FrankRuehl" w:hint="cs"/>
          <w:rtl/>
        </w:rPr>
        <w:t xml:space="preserve"> חלק מחלקות 8, 9, 36, 44 ו-47;</w:t>
      </w:r>
    </w:p>
    <w:p w:rsidR="005A061B" w:rsidRDefault="005A061B" w:rsidP="005A061B">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גוש 979 </w:t>
      </w:r>
      <w:r>
        <w:rPr>
          <w:rStyle w:val="default"/>
          <w:rFonts w:cs="FrankRuehl"/>
          <w:rtl/>
        </w:rPr>
        <w:t>–</w:t>
      </w:r>
      <w:r>
        <w:rPr>
          <w:rStyle w:val="default"/>
          <w:rFonts w:cs="FrankRuehl" w:hint="cs"/>
          <w:rtl/>
        </w:rPr>
        <w:t xml:space="preserve"> חלק מחלקה 21;</w:t>
      </w:r>
    </w:p>
    <w:p w:rsidR="005A061B" w:rsidRDefault="005A061B" w:rsidP="005A061B">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גוש 980 </w:t>
      </w:r>
      <w:r>
        <w:rPr>
          <w:rStyle w:val="default"/>
          <w:rFonts w:cs="FrankRuehl"/>
          <w:rtl/>
        </w:rPr>
        <w:t>–</w:t>
      </w:r>
      <w:r>
        <w:rPr>
          <w:rStyle w:val="default"/>
          <w:rFonts w:cs="FrankRuehl" w:hint="cs"/>
          <w:rtl/>
        </w:rPr>
        <w:t xml:space="preserve"> חלקה מחלקה 31;</w:t>
      </w:r>
    </w:p>
    <w:p w:rsidR="005A061B" w:rsidRDefault="005A061B" w:rsidP="005A061B">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גוש 2835 </w:t>
      </w:r>
      <w:r>
        <w:rPr>
          <w:rStyle w:val="default"/>
          <w:rFonts w:cs="FrankRuehl"/>
          <w:rtl/>
        </w:rPr>
        <w:t>–</w:t>
      </w:r>
      <w:r>
        <w:rPr>
          <w:rStyle w:val="default"/>
          <w:rFonts w:cs="FrankRuehl" w:hint="cs"/>
          <w:rtl/>
        </w:rPr>
        <w:t xml:space="preserve"> חלק מחלקה 24.</w:t>
      </w:r>
    </w:p>
    <w:p w:rsidR="005A061B" w:rsidRDefault="005A061B" w:rsidP="005A061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עודף ההכנסות באזורי חללוקת ההכנסות כאמור בסעיף קטן (א) יחולק בין הרשויות המקומיות לפי צו זה.</w:t>
      </w:r>
    </w:p>
    <w:p w:rsidR="009E35E9" w:rsidRDefault="009E35E9" w:rsidP="00CF45C0">
      <w:pPr>
        <w:pStyle w:val="P00"/>
        <w:spacing w:before="72"/>
        <w:ind w:left="0" w:right="1134"/>
        <w:rPr>
          <w:rStyle w:val="default"/>
          <w:rFonts w:cs="FrankRuehl"/>
          <w:rtl/>
        </w:rPr>
      </w:pPr>
      <w:bookmarkStart w:id="2" w:name="Seif3"/>
      <w:bookmarkEnd w:id="2"/>
      <w:r>
        <w:rPr>
          <w:rFonts w:cs="Miriam"/>
          <w:lang w:val="he-IL"/>
        </w:rPr>
        <w:lastRenderedPageBreak/>
        <w:pict>
          <v:rect id="_x0000_s1215" style="position:absolute;left:0;text-align:left;margin-left:464.35pt;margin-top:7.1pt;width:75.05pt;height:14.55pt;z-index:251657728" o:allowincell="f" filled="f" stroked="f" strokecolor="lime" strokeweight=".25pt">
            <v:textbox style="mso-next-textbox:#_x0000_s1215" inset="0,0,0,0">
              <w:txbxContent>
                <w:p w:rsidR="009E35E9" w:rsidRDefault="0018449C">
                  <w:pPr>
                    <w:spacing w:line="160" w:lineRule="exact"/>
                    <w:rPr>
                      <w:rFonts w:cs="Miriam"/>
                      <w:noProof/>
                      <w:sz w:val="18"/>
                      <w:szCs w:val="18"/>
                    </w:rPr>
                  </w:pPr>
                  <w:r>
                    <w:rPr>
                      <w:rFonts w:cs="Miriam" w:hint="cs"/>
                      <w:sz w:val="18"/>
                      <w:szCs w:val="18"/>
                      <w:rtl/>
                    </w:rPr>
                    <w:t xml:space="preserve">אופן חלוקת </w:t>
                  </w:r>
                  <w:r w:rsidR="005A061B">
                    <w:rPr>
                      <w:rFonts w:cs="Miriam" w:hint="cs"/>
                      <w:sz w:val="18"/>
                      <w:szCs w:val="18"/>
                      <w:rtl/>
                    </w:rPr>
                    <w:t xml:space="preserve">עודף </w:t>
                  </w:r>
                  <w:r>
                    <w:rPr>
                      <w:rFonts w:cs="Miriam" w:hint="cs"/>
                      <w:sz w:val="18"/>
                      <w:szCs w:val="18"/>
                      <w:rtl/>
                    </w:rPr>
                    <w:t>ההכנסות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18449C">
        <w:rPr>
          <w:rStyle w:val="default"/>
          <w:rFonts w:cs="FrankRuehl" w:hint="cs"/>
          <w:rtl/>
        </w:rPr>
        <w:t>(א)</w:t>
      </w:r>
      <w:r w:rsidR="0018449C">
        <w:rPr>
          <w:rStyle w:val="default"/>
          <w:rFonts w:cs="FrankRuehl" w:hint="cs"/>
          <w:rtl/>
        </w:rPr>
        <w:tab/>
      </w:r>
      <w:r w:rsidR="005A061B">
        <w:rPr>
          <w:rStyle w:val="default"/>
          <w:rFonts w:cs="FrankRuehl" w:hint="cs"/>
          <w:rtl/>
        </w:rPr>
        <w:t xml:space="preserve">עודף </w:t>
      </w:r>
      <w:r w:rsidR="0018449C">
        <w:rPr>
          <w:rStyle w:val="default"/>
          <w:rFonts w:cs="FrankRuehl" w:hint="cs"/>
          <w:rtl/>
        </w:rPr>
        <w:t xml:space="preserve">ההכנסות </w:t>
      </w:r>
      <w:r w:rsidR="009075F8">
        <w:rPr>
          <w:rStyle w:val="default"/>
          <w:rFonts w:cs="FrankRuehl" w:hint="cs"/>
          <w:rtl/>
        </w:rPr>
        <w:t xml:space="preserve">יחולק בין הרשויות המקומיות בשיעורים מסך כל </w:t>
      </w:r>
      <w:r w:rsidR="005A061B">
        <w:rPr>
          <w:rStyle w:val="default"/>
          <w:rFonts w:cs="FrankRuehl" w:hint="cs"/>
          <w:rtl/>
        </w:rPr>
        <w:t xml:space="preserve">עודף </w:t>
      </w:r>
      <w:r w:rsidR="009075F8">
        <w:rPr>
          <w:rStyle w:val="default"/>
          <w:rFonts w:cs="FrankRuehl" w:hint="cs"/>
          <w:rtl/>
        </w:rPr>
        <w:t>ההכנסות</w:t>
      </w:r>
      <w:r w:rsidR="002A00E6">
        <w:rPr>
          <w:rStyle w:val="default"/>
          <w:rFonts w:cs="FrankRuehl" w:hint="cs"/>
          <w:rtl/>
        </w:rPr>
        <w:t>, כמפורט להלן:</w:t>
      </w:r>
    </w:p>
    <w:p w:rsidR="005A061B" w:rsidRDefault="005A061B" w:rsidP="005A061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עיריית שדרות </w:t>
      </w:r>
      <w:r>
        <w:rPr>
          <w:rStyle w:val="default"/>
          <w:rFonts w:cs="FrankRuehl"/>
          <w:rtl/>
        </w:rPr>
        <w:t>–</w:t>
      </w:r>
      <w:r>
        <w:rPr>
          <w:rStyle w:val="default"/>
          <w:rFonts w:cs="FrankRuehl" w:hint="cs"/>
          <w:rtl/>
        </w:rPr>
        <w:t xml:space="preserve"> 50%;</w:t>
      </w:r>
    </w:p>
    <w:p w:rsidR="005A061B" w:rsidRDefault="005A061B" w:rsidP="005A06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המועצה האזורית שער הנגב </w:t>
      </w:r>
      <w:r>
        <w:rPr>
          <w:rStyle w:val="default"/>
          <w:rFonts w:cs="FrankRuehl"/>
          <w:rtl/>
        </w:rPr>
        <w:t>–</w:t>
      </w:r>
      <w:r>
        <w:rPr>
          <w:rStyle w:val="default"/>
          <w:rFonts w:cs="FrankRuehl" w:hint="cs"/>
          <w:rtl/>
        </w:rPr>
        <w:t xml:space="preserve"> 50%.</w:t>
      </w:r>
    </w:p>
    <w:p w:rsidR="005A061B" w:rsidRDefault="005A061B" w:rsidP="00CF45C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החל מיום הראשון בינואר בשנה לאחר עליית עודף ההכנסות השנתי על 15,000,000 שקלים חדשים, יחולק עודף ההכנסות בין הרשויות המקומיות בשיעורים מסך כל עודף ההכנסות כמפורט 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970"/>
        <w:gridCol w:w="962"/>
        <w:gridCol w:w="929"/>
        <w:gridCol w:w="953"/>
      </w:tblGrid>
      <w:tr w:rsidR="005A061B" w:rsidRPr="00E54006" w:rsidTr="00E54006">
        <w:tc>
          <w:tcPr>
            <w:tcW w:w="0" w:type="auto"/>
            <w:shd w:val="clear" w:color="auto" w:fill="auto"/>
            <w:vAlign w:val="bottom"/>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E54006">
              <w:rPr>
                <w:rStyle w:val="default"/>
                <w:rFonts w:cs="FrankRuehl" w:hint="cs"/>
                <w:sz w:val="18"/>
                <w:szCs w:val="22"/>
                <w:rtl/>
              </w:rPr>
              <w:t>הרשות המקומיות</w:t>
            </w:r>
          </w:p>
        </w:tc>
        <w:tc>
          <w:tcPr>
            <w:tcW w:w="0" w:type="auto"/>
            <w:shd w:val="clear" w:color="auto" w:fill="auto"/>
            <w:vAlign w:val="bottom"/>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E54006">
              <w:rPr>
                <w:rStyle w:val="default"/>
                <w:rFonts w:cs="FrankRuehl" w:hint="cs"/>
                <w:sz w:val="18"/>
                <w:szCs w:val="22"/>
                <w:rtl/>
              </w:rPr>
              <w:t>אזור א'</w:t>
            </w:r>
          </w:p>
        </w:tc>
        <w:tc>
          <w:tcPr>
            <w:tcW w:w="0" w:type="auto"/>
            <w:shd w:val="clear" w:color="auto" w:fill="auto"/>
            <w:vAlign w:val="bottom"/>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E54006">
              <w:rPr>
                <w:rStyle w:val="default"/>
                <w:rFonts w:cs="FrankRuehl" w:hint="cs"/>
                <w:sz w:val="18"/>
                <w:szCs w:val="22"/>
                <w:rtl/>
              </w:rPr>
              <w:t>אזור ב'</w:t>
            </w:r>
          </w:p>
        </w:tc>
        <w:tc>
          <w:tcPr>
            <w:tcW w:w="0" w:type="auto"/>
            <w:shd w:val="clear" w:color="auto" w:fill="auto"/>
            <w:vAlign w:val="bottom"/>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E54006">
              <w:rPr>
                <w:rStyle w:val="default"/>
                <w:rFonts w:cs="FrankRuehl" w:hint="cs"/>
                <w:sz w:val="18"/>
                <w:szCs w:val="22"/>
                <w:rtl/>
              </w:rPr>
              <w:t>אזור ג'</w:t>
            </w:r>
          </w:p>
        </w:tc>
        <w:tc>
          <w:tcPr>
            <w:tcW w:w="0" w:type="auto"/>
            <w:shd w:val="clear" w:color="auto" w:fill="auto"/>
            <w:vAlign w:val="bottom"/>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E54006">
              <w:rPr>
                <w:rStyle w:val="default"/>
                <w:rFonts w:cs="FrankRuehl" w:hint="cs"/>
                <w:sz w:val="18"/>
                <w:szCs w:val="22"/>
                <w:rtl/>
              </w:rPr>
              <w:t>אזור ד'</w:t>
            </w:r>
          </w:p>
        </w:tc>
      </w:tr>
      <w:tr w:rsidR="005A061B" w:rsidRPr="00E54006" w:rsidTr="00E54006">
        <w:tc>
          <w:tcPr>
            <w:tcW w:w="0" w:type="auto"/>
            <w:shd w:val="clear" w:color="auto" w:fill="auto"/>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54006">
              <w:rPr>
                <w:rStyle w:val="default"/>
                <w:rFonts w:cs="FrankRuehl" w:hint="cs"/>
                <w:sz w:val="20"/>
                <w:szCs w:val="24"/>
                <w:rtl/>
              </w:rPr>
              <w:t>עיריית שדרות</w:t>
            </w:r>
          </w:p>
        </w:tc>
        <w:tc>
          <w:tcPr>
            <w:tcW w:w="0" w:type="auto"/>
            <w:shd w:val="clear" w:color="auto" w:fill="auto"/>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54006">
              <w:rPr>
                <w:rStyle w:val="default"/>
                <w:rFonts w:cs="FrankRuehl" w:hint="cs"/>
                <w:sz w:val="20"/>
                <w:szCs w:val="24"/>
                <w:rtl/>
              </w:rPr>
              <w:t>65%</w:t>
            </w:r>
          </w:p>
        </w:tc>
        <w:tc>
          <w:tcPr>
            <w:tcW w:w="0" w:type="auto"/>
            <w:shd w:val="clear" w:color="auto" w:fill="auto"/>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54006">
              <w:rPr>
                <w:rStyle w:val="default"/>
                <w:rFonts w:cs="FrankRuehl" w:hint="cs"/>
                <w:sz w:val="20"/>
                <w:szCs w:val="24"/>
                <w:rtl/>
              </w:rPr>
              <w:t>60%</w:t>
            </w:r>
          </w:p>
        </w:tc>
        <w:tc>
          <w:tcPr>
            <w:tcW w:w="0" w:type="auto"/>
            <w:shd w:val="clear" w:color="auto" w:fill="auto"/>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54006">
              <w:rPr>
                <w:rStyle w:val="default"/>
                <w:rFonts w:cs="FrankRuehl" w:hint="cs"/>
                <w:sz w:val="20"/>
                <w:szCs w:val="24"/>
                <w:rtl/>
              </w:rPr>
              <w:t>50%</w:t>
            </w:r>
          </w:p>
        </w:tc>
        <w:tc>
          <w:tcPr>
            <w:tcW w:w="0" w:type="auto"/>
            <w:shd w:val="clear" w:color="auto" w:fill="auto"/>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54006">
              <w:rPr>
                <w:rStyle w:val="default"/>
                <w:rFonts w:cs="FrankRuehl" w:hint="cs"/>
                <w:sz w:val="20"/>
                <w:szCs w:val="24"/>
                <w:rtl/>
              </w:rPr>
              <w:t>55%</w:t>
            </w:r>
          </w:p>
        </w:tc>
      </w:tr>
      <w:tr w:rsidR="005A061B" w:rsidRPr="00E54006" w:rsidTr="00E54006">
        <w:tc>
          <w:tcPr>
            <w:tcW w:w="0" w:type="auto"/>
            <w:shd w:val="clear" w:color="auto" w:fill="auto"/>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54006">
              <w:rPr>
                <w:rStyle w:val="default"/>
                <w:rFonts w:cs="FrankRuehl" w:hint="cs"/>
                <w:sz w:val="20"/>
                <w:szCs w:val="24"/>
                <w:rtl/>
              </w:rPr>
              <w:t>המועצה האזורית שער הנגב</w:t>
            </w:r>
          </w:p>
        </w:tc>
        <w:tc>
          <w:tcPr>
            <w:tcW w:w="0" w:type="auto"/>
            <w:shd w:val="clear" w:color="auto" w:fill="auto"/>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54006">
              <w:rPr>
                <w:rStyle w:val="default"/>
                <w:rFonts w:cs="FrankRuehl" w:hint="cs"/>
                <w:sz w:val="20"/>
                <w:szCs w:val="24"/>
                <w:rtl/>
              </w:rPr>
              <w:t>35%</w:t>
            </w:r>
          </w:p>
        </w:tc>
        <w:tc>
          <w:tcPr>
            <w:tcW w:w="0" w:type="auto"/>
            <w:shd w:val="clear" w:color="auto" w:fill="auto"/>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54006">
              <w:rPr>
                <w:rStyle w:val="default"/>
                <w:rFonts w:cs="FrankRuehl" w:hint="cs"/>
                <w:sz w:val="20"/>
                <w:szCs w:val="24"/>
                <w:rtl/>
              </w:rPr>
              <w:t>40%</w:t>
            </w:r>
          </w:p>
        </w:tc>
        <w:tc>
          <w:tcPr>
            <w:tcW w:w="0" w:type="auto"/>
            <w:shd w:val="clear" w:color="auto" w:fill="auto"/>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54006">
              <w:rPr>
                <w:rStyle w:val="default"/>
                <w:rFonts w:cs="FrankRuehl" w:hint="cs"/>
                <w:sz w:val="20"/>
                <w:szCs w:val="24"/>
                <w:rtl/>
              </w:rPr>
              <w:t>50%</w:t>
            </w:r>
          </w:p>
        </w:tc>
        <w:tc>
          <w:tcPr>
            <w:tcW w:w="0" w:type="auto"/>
            <w:shd w:val="clear" w:color="auto" w:fill="auto"/>
          </w:tcPr>
          <w:p w:rsidR="005A061B" w:rsidRPr="00E54006" w:rsidRDefault="005A061B" w:rsidP="00E540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54006">
              <w:rPr>
                <w:rStyle w:val="default"/>
                <w:rFonts w:cs="FrankRuehl" w:hint="cs"/>
                <w:sz w:val="20"/>
                <w:szCs w:val="24"/>
                <w:rtl/>
              </w:rPr>
              <w:t>45%</w:t>
            </w:r>
          </w:p>
        </w:tc>
      </w:tr>
    </w:tbl>
    <w:p w:rsidR="005A061B" w:rsidRDefault="005A061B" w:rsidP="00CF45C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הרשויות המקומיות יעבירו זו לזו את עודף ההכנסות לפי האמור בסעיף זה.</w:t>
      </w:r>
    </w:p>
    <w:p w:rsidR="009E35E9" w:rsidRDefault="009E35E9" w:rsidP="00D35C20">
      <w:pPr>
        <w:pStyle w:val="P00"/>
        <w:spacing w:before="72"/>
        <w:ind w:left="0" w:right="1134"/>
        <w:rPr>
          <w:rStyle w:val="default"/>
          <w:rFonts w:cs="FrankRuehl" w:hint="cs"/>
          <w:rtl/>
        </w:rPr>
      </w:pPr>
      <w:bookmarkStart w:id="3" w:name="Seif4"/>
      <w:bookmarkEnd w:id="3"/>
      <w:r>
        <w:rPr>
          <w:rFonts w:cs="Miriam"/>
          <w:lang w:val="he-IL"/>
        </w:rPr>
        <w:pict>
          <v:rect id="_x0000_s1231" style="position:absolute;left:0;text-align:left;margin-left:464.35pt;margin-top:7.1pt;width:75.05pt;height:15.75pt;z-index:251658752" o:allowincell="f" filled="f" stroked="f" strokecolor="lime" strokeweight=".25pt">
            <v:textbox style="mso-next-textbox:#_x0000_s1231" inset="0,0,0,0">
              <w:txbxContent>
                <w:p w:rsidR="009E35E9" w:rsidRDefault="002A00E6" w:rsidP="002A00E6">
                  <w:pPr>
                    <w:spacing w:line="160" w:lineRule="exact"/>
                    <w:rPr>
                      <w:rFonts w:cs="Miriam" w:hint="cs"/>
                      <w:noProof/>
                      <w:sz w:val="18"/>
                      <w:szCs w:val="18"/>
                      <w:rtl/>
                    </w:rPr>
                  </w:pPr>
                  <w:r>
                    <w:rPr>
                      <w:rFonts w:cs="Miriam" w:hint="cs"/>
                      <w:sz w:val="18"/>
                      <w:szCs w:val="18"/>
                      <w:rtl/>
                    </w:rPr>
                    <w:t>תשלום ודיווח</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2A00E6">
        <w:rPr>
          <w:rStyle w:val="default"/>
          <w:rFonts w:cs="FrankRuehl" w:hint="cs"/>
          <w:rtl/>
        </w:rPr>
        <w:t>(א)</w:t>
      </w:r>
      <w:r w:rsidR="002A00E6">
        <w:rPr>
          <w:rStyle w:val="default"/>
          <w:rFonts w:cs="FrankRuehl" w:hint="cs"/>
          <w:rtl/>
        </w:rPr>
        <w:tab/>
        <w:t>גזבר</w:t>
      </w:r>
      <w:r w:rsidR="005A061B">
        <w:rPr>
          <w:rStyle w:val="default"/>
          <w:rFonts w:cs="FrankRuehl" w:hint="cs"/>
          <w:rtl/>
        </w:rPr>
        <w:t>י</w:t>
      </w:r>
      <w:r w:rsidR="002A00E6">
        <w:rPr>
          <w:rStyle w:val="default"/>
          <w:rFonts w:cs="FrankRuehl" w:hint="cs"/>
          <w:rtl/>
        </w:rPr>
        <w:t xml:space="preserve"> </w:t>
      </w:r>
      <w:r w:rsidR="005A061B">
        <w:rPr>
          <w:rStyle w:val="default"/>
          <w:rFonts w:cs="FrankRuehl" w:hint="cs"/>
          <w:rtl/>
        </w:rPr>
        <w:t>הרשויות המקומיות</w:t>
      </w:r>
      <w:r w:rsidR="002A00E6">
        <w:rPr>
          <w:rStyle w:val="default"/>
          <w:rFonts w:cs="FrankRuehl" w:hint="cs"/>
          <w:rtl/>
        </w:rPr>
        <w:t xml:space="preserve"> יער</w:t>
      </w:r>
      <w:r w:rsidR="005A061B">
        <w:rPr>
          <w:rStyle w:val="default"/>
          <w:rFonts w:cs="FrankRuehl" w:hint="cs"/>
          <w:rtl/>
        </w:rPr>
        <w:t>כו</w:t>
      </w:r>
      <w:r w:rsidR="002A00E6">
        <w:rPr>
          <w:rStyle w:val="default"/>
          <w:rFonts w:cs="FrankRuehl" w:hint="cs"/>
          <w:rtl/>
        </w:rPr>
        <w:t xml:space="preserve"> </w:t>
      </w:r>
      <w:r w:rsidR="002F7617">
        <w:rPr>
          <w:rStyle w:val="default"/>
          <w:rFonts w:cs="FrankRuehl" w:hint="cs"/>
          <w:rtl/>
        </w:rPr>
        <w:t xml:space="preserve">בכל רבעון דוח רבעוני של </w:t>
      </w:r>
      <w:r w:rsidR="005A061B">
        <w:rPr>
          <w:rStyle w:val="default"/>
          <w:rFonts w:cs="FrankRuehl" w:hint="cs"/>
          <w:rtl/>
        </w:rPr>
        <w:t xml:space="preserve">כלל </w:t>
      </w:r>
      <w:r w:rsidR="002F7617">
        <w:rPr>
          <w:rStyle w:val="default"/>
          <w:rFonts w:cs="FrankRuehl" w:hint="cs"/>
          <w:rtl/>
        </w:rPr>
        <w:t>ההכנסות באזור</w:t>
      </w:r>
      <w:r w:rsidR="005A061B">
        <w:rPr>
          <w:rStyle w:val="default"/>
          <w:rFonts w:cs="FrankRuehl" w:hint="cs"/>
          <w:rtl/>
        </w:rPr>
        <w:t>י</w:t>
      </w:r>
      <w:r w:rsidR="002F7617">
        <w:rPr>
          <w:rStyle w:val="default"/>
          <w:rFonts w:cs="FrankRuehl" w:hint="cs"/>
          <w:rtl/>
        </w:rPr>
        <w:t xml:space="preserve"> חלוקת ההכנסות (להלן </w:t>
      </w:r>
      <w:r w:rsidR="002F7617">
        <w:rPr>
          <w:rStyle w:val="default"/>
          <w:rFonts w:cs="FrankRuehl"/>
          <w:rtl/>
        </w:rPr>
        <w:t>–</w:t>
      </w:r>
      <w:r w:rsidR="002F7617">
        <w:rPr>
          <w:rStyle w:val="default"/>
          <w:rFonts w:cs="FrankRuehl" w:hint="cs"/>
          <w:rtl/>
        </w:rPr>
        <w:t xml:space="preserve"> הדוח הרבעוני) </w:t>
      </w:r>
      <w:r w:rsidR="000F1E37">
        <w:rPr>
          <w:rStyle w:val="default"/>
          <w:rFonts w:cs="FrankRuehl" w:hint="cs"/>
          <w:rtl/>
        </w:rPr>
        <w:t>ולפי</w:t>
      </w:r>
      <w:r w:rsidR="00CF2C5E">
        <w:rPr>
          <w:rStyle w:val="default"/>
          <w:rFonts w:cs="FrankRuehl" w:hint="cs"/>
          <w:rtl/>
        </w:rPr>
        <w:t>הם</w:t>
      </w:r>
      <w:r w:rsidR="002F7617">
        <w:rPr>
          <w:rStyle w:val="default"/>
          <w:rFonts w:cs="FrankRuehl" w:hint="cs"/>
          <w:rtl/>
        </w:rPr>
        <w:t xml:space="preserve"> </w:t>
      </w:r>
      <w:r w:rsidR="004C649A">
        <w:rPr>
          <w:rStyle w:val="default"/>
          <w:rFonts w:cs="FrankRuehl" w:hint="cs"/>
          <w:rtl/>
        </w:rPr>
        <w:t>יועברו</w:t>
      </w:r>
      <w:r w:rsidR="002F7617">
        <w:rPr>
          <w:rStyle w:val="default"/>
          <w:rFonts w:cs="FrankRuehl" w:hint="cs"/>
          <w:rtl/>
        </w:rPr>
        <w:t xml:space="preserve"> </w:t>
      </w:r>
      <w:r w:rsidR="00CF2C5E">
        <w:rPr>
          <w:rStyle w:val="default"/>
          <w:rFonts w:cs="FrankRuehl" w:hint="cs"/>
          <w:rtl/>
        </w:rPr>
        <w:t xml:space="preserve">עודפי </w:t>
      </w:r>
      <w:r w:rsidR="002F7617">
        <w:rPr>
          <w:rStyle w:val="default"/>
          <w:rFonts w:cs="FrankRuehl" w:hint="cs"/>
          <w:rtl/>
        </w:rPr>
        <w:t xml:space="preserve">ההכנסות </w:t>
      </w:r>
      <w:r w:rsidR="00CF2C5E">
        <w:rPr>
          <w:rStyle w:val="default"/>
          <w:rFonts w:cs="FrankRuehl" w:hint="cs"/>
          <w:rtl/>
        </w:rPr>
        <w:t>לרשויות המקומיות כמפורט בסעיף 3</w:t>
      </w:r>
      <w:r w:rsidR="002F7617">
        <w:rPr>
          <w:rStyle w:val="default"/>
          <w:rFonts w:cs="FrankRuehl" w:hint="cs"/>
          <w:rtl/>
        </w:rPr>
        <w:t>.</w:t>
      </w:r>
    </w:p>
    <w:p w:rsidR="00D35C20" w:rsidRDefault="00D35C20" w:rsidP="00D35C20">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CF2C5E">
        <w:rPr>
          <w:rStyle w:val="default"/>
          <w:rFonts w:cs="FrankRuehl" w:hint="cs"/>
          <w:rtl/>
        </w:rPr>
        <w:t xml:space="preserve">הרשויות המקומיות יעבירו האחת לשנייה את </w:t>
      </w:r>
      <w:r>
        <w:rPr>
          <w:rStyle w:val="default"/>
          <w:rFonts w:cs="FrankRuehl" w:hint="cs"/>
          <w:rtl/>
        </w:rPr>
        <w:t>הדוח</w:t>
      </w:r>
      <w:r w:rsidR="00CF2C5E">
        <w:rPr>
          <w:rStyle w:val="default"/>
          <w:rFonts w:cs="FrankRuehl" w:hint="cs"/>
          <w:rtl/>
        </w:rPr>
        <w:t>ות</w:t>
      </w:r>
      <w:r>
        <w:rPr>
          <w:rStyle w:val="default"/>
          <w:rFonts w:cs="FrankRuehl" w:hint="cs"/>
          <w:rtl/>
        </w:rPr>
        <w:t xml:space="preserve"> הרבעוני</w:t>
      </w:r>
      <w:r w:rsidR="00CF2C5E">
        <w:rPr>
          <w:rStyle w:val="default"/>
          <w:rFonts w:cs="FrankRuehl" w:hint="cs"/>
          <w:rtl/>
        </w:rPr>
        <w:t>ים</w:t>
      </w:r>
      <w:r>
        <w:rPr>
          <w:rStyle w:val="default"/>
          <w:rFonts w:cs="FrankRuehl" w:hint="cs"/>
          <w:rtl/>
        </w:rPr>
        <w:t xml:space="preserve"> ו</w:t>
      </w:r>
      <w:r w:rsidR="00CF2C5E">
        <w:rPr>
          <w:rStyle w:val="default"/>
          <w:rFonts w:cs="FrankRuehl" w:hint="cs"/>
          <w:rtl/>
        </w:rPr>
        <w:t xml:space="preserve">את עודף </w:t>
      </w:r>
      <w:r>
        <w:rPr>
          <w:rStyle w:val="default"/>
          <w:rFonts w:cs="FrankRuehl" w:hint="cs"/>
          <w:rtl/>
        </w:rPr>
        <w:t>ההכנסות בתוך 30 ימים מתום כל רבעון.</w:t>
      </w:r>
    </w:p>
    <w:p w:rsidR="00935247" w:rsidRDefault="00D35C20" w:rsidP="00D35C20">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sidR="00CF2C5E">
        <w:rPr>
          <w:rStyle w:val="default"/>
          <w:rFonts w:cs="FrankRuehl" w:hint="cs"/>
          <w:rtl/>
        </w:rPr>
        <w:t>רשות מקומית אחת</w:t>
      </w:r>
      <w:r>
        <w:rPr>
          <w:rStyle w:val="default"/>
          <w:rFonts w:cs="FrankRuehl" w:hint="cs"/>
          <w:rtl/>
        </w:rPr>
        <w:t xml:space="preserve"> רשאית בתוך 21 ימים מיום שהועבר לידיה הדוח הרבעוני לדרוש </w:t>
      </w:r>
      <w:r w:rsidR="00935247">
        <w:rPr>
          <w:rStyle w:val="default"/>
          <w:rFonts w:cs="FrankRuehl" w:hint="cs"/>
          <w:rtl/>
        </w:rPr>
        <w:t>מהרשות המקומית השנייה</w:t>
      </w:r>
      <w:r>
        <w:rPr>
          <w:rStyle w:val="default"/>
          <w:rFonts w:cs="FrankRuehl" w:hint="cs"/>
          <w:rtl/>
        </w:rPr>
        <w:t xml:space="preserve"> כל מידע הנוגע להכנסות</w:t>
      </w:r>
      <w:r w:rsidR="00935247">
        <w:rPr>
          <w:rStyle w:val="default"/>
          <w:rFonts w:cs="FrankRuehl" w:hint="cs"/>
          <w:rtl/>
        </w:rPr>
        <w:t>.</w:t>
      </w:r>
    </w:p>
    <w:p w:rsidR="00D35C20" w:rsidRDefault="00935247" w:rsidP="00D35C2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רשות מקומית שנדרשה להמציא מידע כאמור בסעיף קטן (ג)</w:t>
      </w:r>
      <w:r w:rsidR="00F03F52">
        <w:rPr>
          <w:rStyle w:val="default"/>
          <w:rFonts w:cs="FrankRuehl" w:hint="cs"/>
          <w:rtl/>
        </w:rPr>
        <w:t xml:space="preserve"> תמציא את המידע הנדרש בתוך 21 ימים מיום שנדרשה לכך</w:t>
      </w:r>
      <w:r w:rsidR="00D35C20">
        <w:rPr>
          <w:rStyle w:val="default"/>
          <w:rFonts w:cs="FrankRuehl" w:hint="cs"/>
          <w:rtl/>
        </w:rPr>
        <w:t>.</w:t>
      </w:r>
    </w:p>
    <w:p w:rsidR="009E35E9" w:rsidRDefault="009E35E9" w:rsidP="00D35C20">
      <w:pPr>
        <w:pStyle w:val="P00"/>
        <w:spacing w:before="72"/>
        <w:ind w:left="0" w:right="1134"/>
        <w:rPr>
          <w:rStyle w:val="default"/>
          <w:rFonts w:cs="FrankRuehl"/>
          <w:rtl/>
        </w:rPr>
      </w:pPr>
      <w:bookmarkStart w:id="4" w:name="Seif5"/>
      <w:bookmarkEnd w:id="4"/>
      <w:r>
        <w:rPr>
          <w:rFonts w:cs="Miriam"/>
          <w:lang w:val="he-IL"/>
        </w:rPr>
        <w:pict>
          <v:rect id="_x0000_s1232" style="position:absolute;left:0;text-align:left;margin-left:464.35pt;margin-top:7.1pt;width:75.05pt;height:10.85pt;z-index:251659776" o:allowincell="f" filled="f" stroked="f" strokecolor="lime" strokeweight=".25pt">
            <v:textbox style="mso-next-textbox:#_x0000_s1232" inset="0,0,0,0">
              <w:txbxContent>
                <w:p w:rsidR="009E35E9" w:rsidRDefault="002F7617">
                  <w:pPr>
                    <w:spacing w:line="160" w:lineRule="exact"/>
                    <w:rPr>
                      <w:rFonts w:cs="Miriam" w:hint="cs"/>
                      <w:noProof/>
                      <w:sz w:val="18"/>
                      <w:szCs w:val="18"/>
                      <w:rtl/>
                    </w:rPr>
                  </w:pPr>
                  <w:r>
                    <w:rPr>
                      <w:rFonts w:cs="Miriam" w:hint="cs"/>
                      <w:sz w:val="18"/>
                      <w:szCs w:val="18"/>
                      <w:rtl/>
                    </w:rPr>
                    <w:t>ריבית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2F7617">
        <w:rPr>
          <w:rStyle w:val="default"/>
          <w:rFonts w:cs="FrankRuehl" w:hint="cs"/>
          <w:rtl/>
        </w:rPr>
        <w:t xml:space="preserve">לא הועבר </w:t>
      </w:r>
      <w:r w:rsidR="00935247">
        <w:rPr>
          <w:rStyle w:val="default"/>
          <w:rFonts w:cs="FrankRuehl" w:hint="cs"/>
          <w:rtl/>
        </w:rPr>
        <w:t xml:space="preserve">עודף </w:t>
      </w:r>
      <w:r w:rsidR="004C649A">
        <w:rPr>
          <w:rStyle w:val="default"/>
          <w:rFonts w:cs="FrankRuehl" w:hint="cs"/>
          <w:rtl/>
        </w:rPr>
        <w:t xml:space="preserve">ההכנסות </w:t>
      </w:r>
      <w:r w:rsidR="002F7617">
        <w:rPr>
          <w:rStyle w:val="default"/>
          <w:rFonts w:cs="FrankRuehl" w:hint="cs"/>
          <w:rtl/>
        </w:rPr>
        <w:t xml:space="preserve">במועד, יישאו התקבולים ריבית בשיעור ריבית פיגורים </w:t>
      </w:r>
      <w:r w:rsidR="004C649A">
        <w:rPr>
          <w:rStyle w:val="default"/>
          <w:rFonts w:cs="FrankRuehl" w:hint="cs"/>
          <w:rtl/>
        </w:rPr>
        <w:t>כהגדרתה</w:t>
      </w:r>
      <w:r w:rsidR="002F7617">
        <w:rPr>
          <w:rStyle w:val="default"/>
          <w:rFonts w:cs="FrankRuehl" w:hint="cs"/>
          <w:rtl/>
        </w:rPr>
        <w:t xml:space="preserve"> בסעיף </w:t>
      </w:r>
      <w:r w:rsidR="00F64C6C">
        <w:rPr>
          <w:rStyle w:val="default"/>
          <w:rFonts w:cs="FrankRuehl" w:hint="cs"/>
          <w:rtl/>
        </w:rPr>
        <w:t xml:space="preserve">5 </w:t>
      </w:r>
      <w:r w:rsidR="002F7617">
        <w:rPr>
          <w:rStyle w:val="default"/>
          <w:rFonts w:cs="FrankRuehl" w:hint="cs"/>
          <w:rtl/>
        </w:rPr>
        <w:t>לחוק פסיקת ריבית והצמדה, התשכ"א-1961</w:t>
      </w:r>
      <w:r>
        <w:rPr>
          <w:rStyle w:val="default"/>
          <w:rFonts w:cs="FrankRuehl"/>
          <w:rtl/>
        </w:rPr>
        <w:t>.</w:t>
      </w:r>
    </w:p>
    <w:p w:rsidR="004C649A" w:rsidRDefault="004C649A">
      <w:pPr>
        <w:pStyle w:val="P00"/>
        <w:spacing w:before="72"/>
        <w:ind w:left="0" w:right="1134"/>
        <w:rPr>
          <w:rStyle w:val="default"/>
          <w:rFonts w:cs="FrankRuehl" w:hint="cs"/>
          <w:rtl/>
        </w:rPr>
      </w:pPr>
    </w:p>
    <w:p w:rsidR="009E35E9" w:rsidRDefault="009E35E9">
      <w:pPr>
        <w:pStyle w:val="P00"/>
        <w:spacing w:before="72"/>
        <w:ind w:left="0" w:right="1134"/>
        <w:rPr>
          <w:rStyle w:val="default"/>
          <w:rFonts w:cs="FrankRuehl" w:hint="cs"/>
          <w:rtl/>
        </w:rPr>
      </w:pPr>
    </w:p>
    <w:p w:rsidR="009E35E9" w:rsidRPr="008E20FC" w:rsidRDefault="00935247" w:rsidP="00D35C2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ו' בכסלו התשפ"א (22 בנובמבר</w:t>
      </w:r>
      <w:r w:rsidR="004C649A">
        <w:rPr>
          <w:rStyle w:val="default"/>
          <w:rFonts w:cs="FrankRuehl" w:hint="cs"/>
          <w:rtl/>
        </w:rPr>
        <w:t xml:space="preserve"> 2020</w:t>
      </w:r>
      <w:r w:rsidR="009E35E9" w:rsidRPr="008E20FC">
        <w:rPr>
          <w:rStyle w:val="default"/>
          <w:rFonts w:cs="FrankRuehl" w:hint="cs"/>
          <w:rtl/>
        </w:rPr>
        <w:t>)</w:t>
      </w:r>
      <w:r w:rsidR="004E5061">
        <w:rPr>
          <w:rFonts w:cs="FrankRuehl" w:hint="cs"/>
          <w:rtl/>
        </w:rPr>
        <w:tab/>
      </w:r>
      <w:r w:rsidR="00CF45C0">
        <w:rPr>
          <w:rFonts w:cs="FrankRuehl" w:hint="cs"/>
          <w:rtl/>
        </w:rPr>
        <w:t>אריה מכלוף דרעי</w:t>
      </w:r>
    </w:p>
    <w:p w:rsidR="009E35E9" w:rsidRDefault="009E35E9" w:rsidP="008E20FC">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הפנים</w:t>
      </w:r>
    </w:p>
    <w:p w:rsidR="00AC4B4C" w:rsidRDefault="00AC4B4C" w:rsidP="009075F8">
      <w:pPr>
        <w:pStyle w:val="P00"/>
        <w:spacing w:before="72"/>
        <w:ind w:left="0" w:right="1134"/>
        <w:rPr>
          <w:rStyle w:val="default"/>
          <w:rFonts w:cs="FrankRuehl"/>
          <w:rtl/>
        </w:rPr>
      </w:pPr>
    </w:p>
    <w:p w:rsidR="00A34BCA" w:rsidRDefault="00A34BCA" w:rsidP="009075F8">
      <w:pPr>
        <w:pStyle w:val="P00"/>
        <w:spacing w:before="72"/>
        <w:ind w:left="0" w:right="1134"/>
        <w:rPr>
          <w:rStyle w:val="default"/>
          <w:rFonts w:cs="FrankRuehl"/>
          <w:rtl/>
        </w:rPr>
      </w:pPr>
    </w:p>
    <w:p w:rsidR="00036F5C" w:rsidRDefault="00036F5C" w:rsidP="009075F8">
      <w:pPr>
        <w:pStyle w:val="P00"/>
        <w:spacing w:before="72"/>
        <w:ind w:left="0" w:right="1134"/>
        <w:rPr>
          <w:rStyle w:val="default"/>
          <w:rFonts w:cs="FrankRuehl"/>
          <w:rtl/>
        </w:rPr>
      </w:pPr>
    </w:p>
    <w:p w:rsidR="00036F5C" w:rsidRDefault="00036F5C" w:rsidP="009075F8">
      <w:pPr>
        <w:pStyle w:val="P00"/>
        <w:spacing w:before="72"/>
        <w:ind w:left="0" w:right="1134"/>
        <w:rPr>
          <w:rStyle w:val="default"/>
          <w:rFonts w:cs="FrankRuehl"/>
          <w:rtl/>
        </w:rPr>
      </w:pPr>
    </w:p>
    <w:p w:rsidR="00036F5C" w:rsidRDefault="00036F5C" w:rsidP="00036F5C">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A34BCA" w:rsidRPr="00036F5C" w:rsidRDefault="00A34BCA" w:rsidP="00036F5C">
      <w:pPr>
        <w:pStyle w:val="P00"/>
        <w:spacing w:before="72"/>
        <w:ind w:left="0" w:right="1134"/>
        <w:jc w:val="center"/>
        <w:rPr>
          <w:rStyle w:val="default"/>
          <w:rFonts w:cs="David"/>
          <w:color w:val="0000FF"/>
          <w:szCs w:val="24"/>
          <w:u w:val="single"/>
          <w:rtl/>
        </w:rPr>
      </w:pPr>
    </w:p>
    <w:sectPr w:rsidR="00A34BCA" w:rsidRPr="00036F5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24A9" w:rsidRDefault="000C24A9">
      <w:r>
        <w:separator/>
      </w:r>
    </w:p>
  </w:endnote>
  <w:endnote w:type="continuationSeparator" w:id="0">
    <w:p w:rsidR="000C24A9" w:rsidRDefault="000C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5E9" w:rsidRDefault="009E35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E35E9" w:rsidRDefault="009E35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E35E9" w:rsidRDefault="009E35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2D57">
      <w:rPr>
        <w:rFonts w:cs="TopType Jerushalmi"/>
        <w:noProof/>
        <w:color w:val="000000"/>
        <w:sz w:val="14"/>
        <w:szCs w:val="14"/>
      </w:rPr>
      <w:t>Z:\000-law\yael\2015\2015-01-01\tav\501_163.doc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5E9" w:rsidRDefault="009E35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36F5C">
      <w:rPr>
        <w:rFonts w:hAnsi="FrankRuehl" w:cs="FrankRuehl"/>
        <w:noProof/>
        <w:sz w:val="24"/>
        <w:szCs w:val="24"/>
        <w:rtl/>
      </w:rPr>
      <w:t>3</w:t>
    </w:r>
    <w:r>
      <w:rPr>
        <w:rFonts w:hAnsi="FrankRuehl" w:cs="FrankRuehl"/>
        <w:sz w:val="24"/>
        <w:szCs w:val="24"/>
        <w:rtl/>
      </w:rPr>
      <w:fldChar w:fldCharType="end"/>
    </w:r>
  </w:p>
  <w:p w:rsidR="009E35E9" w:rsidRDefault="009E35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E35E9" w:rsidRDefault="009E35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2D57">
      <w:rPr>
        <w:rFonts w:cs="TopType Jerushalmi"/>
        <w:noProof/>
        <w:color w:val="000000"/>
        <w:sz w:val="14"/>
        <w:szCs w:val="14"/>
      </w:rPr>
      <w:t>Z:\000-law\yael\2015\2015-01-01\tav\501_163.doc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24A9" w:rsidRDefault="000C24A9">
      <w:r>
        <w:separator/>
      </w:r>
    </w:p>
  </w:footnote>
  <w:footnote w:type="continuationSeparator" w:id="0">
    <w:p w:rsidR="000C24A9" w:rsidRDefault="000C24A9">
      <w:r>
        <w:continuationSeparator/>
      </w:r>
    </w:p>
  </w:footnote>
  <w:footnote w:id="1">
    <w:p w:rsidR="00033262" w:rsidRDefault="009E35E9" w:rsidP="000332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8E20FC">
        <w:rPr>
          <w:rFonts w:cs="FrankRuehl" w:hint="cs"/>
          <w:rtl/>
        </w:rPr>
        <w:t>ם</w:t>
      </w:r>
      <w:r>
        <w:rPr>
          <w:rFonts w:cs="FrankRuehl" w:hint="cs"/>
          <w:rtl/>
        </w:rPr>
        <w:t xml:space="preserve"> </w:t>
      </w:r>
      <w:hyperlink r:id="rId1" w:history="1">
        <w:r w:rsidRPr="00033262">
          <w:rPr>
            <w:rStyle w:val="Hyperlink"/>
            <w:rFonts w:cs="FrankRuehl" w:hint="cs"/>
            <w:rtl/>
          </w:rPr>
          <w:t xml:space="preserve">ק"ת </w:t>
        </w:r>
        <w:r w:rsidR="008E20FC" w:rsidRPr="00033262">
          <w:rPr>
            <w:rStyle w:val="Hyperlink"/>
            <w:rFonts w:cs="FrankRuehl" w:hint="cs"/>
            <w:rtl/>
          </w:rPr>
          <w:t>תש</w:t>
        </w:r>
        <w:r w:rsidR="00BB2313" w:rsidRPr="00033262">
          <w:rPr>
            <w:rStyle w:val="Hyperlink"/>
            <w:rFonts w:cs="FrankRuehl" w:hint="cs"/>
            <w:rtl/>
          </w:rPr>
          <w:t>פ"א</w:t>
        </w:r>
        <w:r w:rsidRPr="00033262">
          <w:rPr>
            <w:rStyle w:val="Hyperlink"/>
            <w:rFonts w:cs="FrankRuehl" w:hint="cs"/>
            <w:rtl/>
          </w:rPr>
          <w:t xml:space="preserve"> מס' </w:t>
        </w:r>
        <w:r w:rsidR="00BB2313" w:rsidRPr="00033262">
          <w:rPr>
            <w:rStyle w:val="Hyperlink"/>
            <w:rFonts w:cs="FrankRuehl" w:hint="cs"/>
            <w:rtl/>
          </w:rPr>
          <w:t>8951</w:t>
        </w:r>
      </w:hyperlink>
      <w:r>
        <w:rPr>
          <w:rFonts w:cs="FrankRuehl" w:hint="cs"/>
          <w:rtl/>
        </w:rPr>
        <w:t xml:space="preserve"> מיום </w:t>
      </w:r>
      <w:r w:rsidR="00BB2313">
        <w:rPr>
          <w:rFonts w:cs="FrankRuehl" w:hint="cs"/>
          <w:rtl/>
        </w:rPr>
        <w:t>1.12</w:t>
      </w:r>
      <w:r w:rsidR="001B182D">
        <w:rPr>
          <w:rFonts w:cs="FrankRuehl" w:hint="cs"/>
          <w:rtl/>
        </w:rPr>
        <w:t>.2020</w:t>
      </w:r>
      <w:r>
        <w:rPr>
          <w:rFonts w:cs="FrankRuehl" w:hint="cs"/>
          <w:rtl/>
        </w:rPr>
        <w:t xml:space="preserve"> עמ' </w:t>
      </w:r>
      <w:r w:rsidR="00BB2313">
        <w:rPr>
          <w:rFonts w:cs="FrankRuehl" w:hint="cs"/>
          <w:rtl/>
        </w:rPr>
        <w:t>699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5E9" w:rsidRDefault="009E35E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5E9" w:rsidRDefault="008E20FC" w:rsidP="00D6155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w:t>
    </w:r>
    <w:r w:rsidR="000E22CB">
      <w:rPr>
        <w:rFonts w:hAnsi="FrankRuehl" w:cs="FrankRuehl" w:hint="cs"/>
        <w:color w:val="000000"/>
        <w:sz w:val="28"/>
        <w:szCs w:val="28"/>
        <w:rtl/>
      </w:rPr>
      <w:t xml:space="preserve">העיריות (חלוקת הכנסות בין עיריית </w:t>
    </w:r>
    <w:r w:rsidR="00BB2313">
      <w:rPr>
        <w:rFonts w:hAnsi="FrankRuehl" w:cs="FrankRuehl" w:hint="cs"/>
        <w:color w:val="000000"/>
        <w:sz w:val="28"/>
        <w:szCs w:val="28"/>
        <w:rtl/>
      </w:rPr>
      <w:t>שדרות</w:t>
    </w:r>
    <w:r w:rsidR="001B182D">
      <w:rPr>
        <w:rFonts w:hAnsi="FrankRuehl" w:cs="FrankRuehl" w:hint="cs"/>
        <w:color w:val="000000"/>
        <w:sz w:val="28"/>
        <w:szCs w:val="28"/>
        <w:rtl/>
      </w:rPr>
      <w:t xml:space="preserve"> לבין </w:t>
    </w:r>
    <w:r w:rsidR="00230751">
      <w:rPr>
        <w:rFonts w:hAnsi="FrankRuehl" w:cs="FrankRuehl" w:hint="cs"/>
        <w:color w:val="000000"/>
        <w:sz w:val="28"/>
        <w:szCs w:val="28"/>
        <w:rtl/>
      </w:rPr>
      <w:t xml:space="preserve">המועצה האזורית </w:t>
    </w:r>
    <w:r w:rsidR="00BB2313">
      <w:rPr>
        <w:rFonts w:hAnsi="FrankRuehl" w:cs="FrankRuehl" w:hint="cs"/>
        <w:color w:val="000000"/>
        <w:sz w:val="28"/>
        <w:szCs w:val="28"/>
        <w:rtl/>
      </w:rPr>
      <w:t>שער הנגב</w:t>
    </w:r>
    <w:r>
      <w:rPr>
        <w:rFonts w:hAnsi="FrankRuehl" w:cs="FrankRuehl" w:hint="cs"/>
        <w:color w:val="000000"/>
        <w:sz w:val="28"/>
        <w:szCs w:val="28"/>
        <w:rtl/>
      </w:rPr>
      <w:t xml:space="preserve">), </w:t>
    </w:r>
    <w:r w:rsidR="00BB2313">
      <w:rPr>
        <w:rFonts w:hAnsi="FrankRuehl" w:cs="FrankRuehl"/>
        <w:color w:val="000000"/>
        <w:sz w:val="28"/>
        <w:szCs w:val="28"/>
        <w:rtl/>
      </w:rPr>
      <w:br/>
    </w:r>
    <w:r w:rsidR="001B182D">
      <w:rPr>
        <w:rFonts w:hAnsi="FrankRuehl" w:cs="FrankRuehl" w:hint="cs"/>
        <w:color w:val="000000"/>
        <w:sz w:val="28"/>
        <w:szCs w:val="28"/>
        <w:rtl/>
      </w:rPr>
      <w:t>תש</w:t>
    </w:r>
    <w:r w:rsidR="00BB2313">
      <w:rPr>
        <w:rFonts w:hAnsi="FrankRuehl" w:cs="FrankRuehl" w:hint="cs"/>
        <w:color w:val="000000"/>
        <w:sz w:val="28"/>
        <w:szCs w:val="28"/>
        <w:rtl/>
      </w:rPr>
      <w:t>פ"א</w:t>
    </w:r>
    <w:r w:rsidR="001B182D">
      <w:rPr>
        <w:rFonts w:hAnsi="FrankRuehl" w:cs="FrankRuehl" w:hint="cs"/>
        <w:color w:val="000000"/>
        <w:sz w:val="28"/>
        <w:szCs w:val="28"/>
        <w:rtl/>
      </w:rPr>
      <w:t>-2020</w:t>
    </w:r>
  </w:p>
  <w:p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1563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35E9"/>
    <w:rsid w:val="000173EB"/>
    <w:rsid w:val="00033262"/>
    <w:rsid w:val="00036F5C"/>
    <w:rsid w:val="000953C0"/>
    <w:rsid w:val="000C24A9"/>
    <w:rsid w:val="000E22CB"/>
    <w:rsid w:val="000F1E37"/>
    <w:rsid w:val="00161651"/>
    <w:rsid w:val="0018449C"/>
    <w:rsid w:val="001914FE"/>
    <w:rsid w:val="001B182D"/>
    <w:rsid w:val="001C347D"/>
    <w:rsid w:val="00201791"/>
    <w:rsid w:val="00230751"/>
    <w:rsid w:val="00257CD9"/>
    <w:rsid w:val="002A00E6"/>
    <w:rsid w:val="002B37C1"/>
    <w:rsid w:val="002F7617"/>
    <w:rsid w:val="003820C6"/>
    <w:rsid w:val="00385044"/>
    <w:rsid w:val="0039104A"/>
    <w:rsid w:val="003A73D6"/>
    <w:rsid w:val="003E549F"/>
    <w:rsid w:val="00474A58"/>
    <w:rsid w:val="004751DE"/>
    <w:rsid w:val="004A16D2"/>
    <w:rsid w:val="004A4B10"/>
    <w:rsid w:val="004B3228"/>
    <w:rsid w:val="004C649A"/>
    <w:rsid w:val="004E5061"/>
    <w:rsid w:val="004E66A5"/>
    <w:rsid w:val="00513B06"/>
    <w:rsid w:val="00537EBD"/>
    <w:rsid w:val="005A061B"/>
    <w:rsid w:val="005A1666"/>
    <w:rsid w:val="005F7323"/>
    <w:rsid w:val="00684C6C"/>
    <w:rsid w:val="00695C9C"/>
    <w:rsid w:val="006F2CFE"/>
    <w:rsid w:val="007032BB"/>
    <w:rsid w:val="00772A1E"/>
    <w:rsid w:val="007753F5"/>
    <w:rsid w:val="00780C52"/>
    <w:rsid w:val="007C0649"/>
    <w:rsid w:val="007D7993"/>
    <w:rsid w:val="007E7202"/>
    <w:rsid w:val="00860530"/>
    <w:rsid w:val="00890294"/>
    <w:rsid w:val="008A4A8E"/>
    <w:rsid w:val="008E20FC"/>
    <w:rsid w:val="00902C90"/>
    <w:rsid w:val="009075F8"/>
    <w:rsid w:val="00935247"/>
    <w:rsid w:val="0094424F"/>
    <w:rsid w:val="009E35E9"/>
    <w:rsid w:val="00A1207E"/>
    <w:rsid w:val="00A34BCA"/>
    <w:rsid w:val="00A95B72"/>
    <w:rsid w:val="00AC4B4C"/>
    <w:rsid w:val="00B65A57"/>
    <w:rsid w:val="00BA6C1A"/>
    <w:rsid w:val="00BB2313"/>
    <w:rsid w:val="00BD1FE9"/>
    <w:rsid w:val="00BE28D4"/>
    <w:rsid w:val="00C06520"/>
    <w:rsid w:val="00C25431"/>
    <w:rsid w:val="00C44EF4"/>
    <w:rsid w:val="00C83F6C"/>
    <w:rsid w:val="00CC3E88"/>
    <w:rsid w:val="00CE6F09"/>
    <w:rsid w:val="00CF2C5E"/>
    <w:rsid w:val="00CF45C0"/>
    <w:rsid w:val="00D0395E"/>
    <w:rsid w:val="00D251CF"/>
    <w:rsid w:val="00D35C20"/>
    <w:rsid w:val="00D53828"/>
    <w:rsid w:val="00D5775E"/>
    <w:rsid w:val="00D6155C"/>
    <w:rsid w:val="00E4532B"/>
    <w:rsid w:val="00E54006"/>
    <w:rsid w:val="00F03F52"/>
    <w:rsid w:val="00F13E49"/>
    <w:rsid w:val="00F64C6C"/>
    <w:rsid w:val="00F65AC8"/>
    <w:rsid w:val="00F80813"/>
    <w:rsid w:val="00FD2D57"/>
    <w:rsid w:val="00FE70C1"/>
    <w:rsid w:val="00FF61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5FD110E-3703-4C07-949D-F6913016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2B37C1"/>
    <w:rPr>
      <w:color w:val="808080"/>
      <w:shd w:val="clear" w:color="auto" w:fill="E6E6E6"/>
    </w:rPr>
  </w:style>
  <w:style w:type="table" w:styleId="a8">
    <w:name w:val="Table Grid"/>
    <w:basedOn w:val="a1"/>
    <w:rsid w:val="005A0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9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3768</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8257567</vt:i4>
      </vt:variant>
      <vt:variant>
        <vt:i4>0</vt:i4>
      </vt:variant>
      <vt:variant>
        <vt:i4>0</vt:i4>
      </vt:variant>
      <vt:variant>
        <vt:i4>5</vt:i4>
      </vt:variant>
      <vt:variant>
        <vt:lpwstr>https://www.nevo.co.il/law_word/law06/tak-8951.pdf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העיריות (חלוקת הכנסות בין עיריית שדרות לבין המועצה האזורית שער הנגב), תשפ"א-2020</vt:lpwstr>
  </property>
  <property fmtid="{D5CDD505-2E9C-101B-9397-08002B2CF9AE}" pid="4" name="LAWNUMBER">
    <vt:lpwstr>0408</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פקודת העיריות [נוסח חדש]</vt:lpwstr>
  </property>
  <property fmtid="{D5CDD505-2E9C-101B-9397-08002B2CF9AE}" pid="21" name="MEKOR_SAIF1">
    <vt:lpwstr>9בX</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מסי שלטון מקומי</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2">
    <vt:lpwstr>פקודת המועצות המקומיות [נוסח חדש]</vt:lpwstr>
  </property>
  <property fmtid="{D5CDD505-2E9C-101B-9397-08002B2CF9AE}" pid="64" name="MEKOR_SAIF2">
    <vt:lpwstr>34אX</vt:lpwstr>
  </property>
  <property fmtid="{D5CDD505-2E9C-101B-9397-08002B2CF9AE}" pid="65" name="LINKK2">
    <vt:lpwstr/>
  </property>
  <property fmtid="{D5CDD505-2E9C-101B-9397-08002B2CF9AE}" pid="66" name="MEKOR_LAWID1">
    <vt:lpwstr>74255</vt:lpwstr>
  </property>
  <property fmtid="{D5CDD505-2E9C-101B-9397-08002B2CF9AE}" pid="67" name="MEKOR_LAWID2">
    <vt:lpwstr>70326</vt:lpwstr>
  </property>
  <property fmtid="{D5CDD505-2E9C-101B-9397-08002B2CF9AE}" pid="68" name="LINKK1">
    <vt:lpwstr>https://www.nevo.co.il/law_word/law06/tak-8951.pdf;‎רשומות - תקנות כלליות#פורסם ק"ת תשפ"א ‏מס' 8951 #מיום 1.12.2020 עמ' 699‏</vt:lpwstr>
  </property>
</Properties>
</file>