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B21C" w14:textId="77777777" w:rsidR="002A7F1E" w:rsidRDefault="002A7F1E">
      <w:pPr>
        <w:pStyle w:val="big-header"/>
        <w:ind w:left="0" w:right="1134"/>
        <w:rPr>
          <w:rFonts w:cs="FrankRuehl"/>
          <w:sz w:val="32"/>
        </w:rPr>
      </w:pPr>
      <w:r>
        <w:rPr>
          <w:rFonts w:cs="FrankRuehl" w:hint="cs"/>
          <w:sz w:val="32"/>
          <w:rtl/>
        </w:rPr>
        <w:t>צו הפעלת רכב (מנועים ודלק) (ניפוק דלק במכלית), תשס"ח-2007</w:t>
      </w:r>
    </w:p>
    <w:p w14:paraId="0750E525" w14:textId="77777777" w:rsidR="00C576BD" w:rsidRPr="00C576BD" w:rsidRDefault="00C576BD" w:rsidP="00C576BD">
      <w:pPr>
        <w:spacing w:line="320" w:lineRule="auto"/>
        <w:rPr>
          <w:rFonts w:cs="FrankRuehl"/>
          <w:szCs w:val="26"/>
          <w:rtl/>
        </w:rPr>
      </w:pPr>
    </w:p>
    <w:p w14:paraId="4573716A" w14:textId="77777777" w:rsidR="00CC4DE3" w:rsidRDefault="00CC4DE3" w:rsidP="00CC4DE3">
      <w:pPr>
        <w:spacing w:line="320" w:lineRule="auto"/>
        <w:rPr>
          <w:rFonts w:hint="cs"/>
          <w:rtl/>
        </w:rPr>
      </w:pPr>
    </w:p>
    <w:p w14:paraId="78D2D974" w14:textId="77777777" w:rsidR="00CC4DE3" w:rsidRDefault="00CC4DE3" w:rsidP="00CC4DE3">
      <w:pPr>
        <w:spacing w:line="320" w:lineRule="auto"/>
        <w:rPr>
          <w:rFonts w:cs="FrankRuehl"/>
          <w:szCs w:val="26"/>
          <w:rtl/>
        </w:rPr>
      </w:pPr>
      <w:r w:rsidRPr="00CC4DE3">
        <w:rPr>
          <w:rFonts w:cs="Miriam"/>
          <w:szCs w:val="22"/>
          <w:rtl/>
        </w:rPr>
        <w:t>רשויות ומשפט מנהלי</w:t>
      </w:r>
      <w:r w:rsidRPr="00CC4DE3">
        <w:rPr>
          <w:rFonts w:cs="FrankRuehl"/>
          <w:szCs w:val="26"/>
          <w:rtl/>
        </w:rPr>
        <w:t xml:space="preserve"> – תשתיות – דלק – הפעלת רכב</w:t>
      </w:r>
    </w:p>
    <w:p w14:paraId="4BED3133" w14:textId="77777777" w:rsidR="00CC4DE3" w:rsidRDefault="00CC4DE3" w:rsidP="00CC4DE3">
      <w:pPr>
        <w:spacing w:line="320" w:lineRule="auto"/>
        <w:rPr>
          <w:rFonts w:cs="FrankRuehl"/>
          <w:szCs w:val="26"/>
          <w:rtl/>
        </w:rPr>
      </w:pPr>
      <w:r w:rsidRPr="00CC4DE3">
        <w:rPr>
          <w:rFonts w:cs="Miriam"/>
          <w:szCs w:val="22"/>
          <w:rtl/>
        </w:rPr>
        <w:t>רשויות ומשפט מנהלי</w:t>
      </w:r>
      <w:r w:rsidRPr="00CC4DE3">
        <w:rPr>
          <w:rFonts w:cs="FrankRuehl"/>
          <w:szCs w:val="26"/>
          <w:rtl/>
        </w:rPr>
        <w:t xml:space="preserve"> – תעבורה – רכב – הפעלת רכב</w:t>
      </w:r>
    </w:p>
    <w:p w14:paraId="65854751" w14:textId="77777777" w:rsidR="00C576BD" w:rsidRPr="00CC4DE3" w:rsidRDefault="00CC4DE3" w:rsidP="00CC4DE3">
      <w:pPr>
        <w:spacing w:line="320" w:lineRule="auto"/>
        <w:rPr>
          <w:rFonts w:cs="Miriam"/>
          <w:szCs w:val="22"/>
          <w:rtl/>
        </w:rPr>
      </w:pPr>
      <w:r w:rsidRPr="00CC4DE3">
        <w:rPr>
          <w:rFonts w:cs="Miriam"/>
          <w:szCs w:val="22"/>
          <w:rtl/>
        </w:rPr>
        <w:t>רשויות ומשפט מנהלי</w:t>
      </w:r>
      <w:r w:rsidRPr="00CC4DE3">
        <w:rPr>
          <w:rFonts w:cs="FrankRuehl"/>
          <w:szCs w:val="26"/>
          <w:rtl/>
        </w:rPr>
        <w:t xml:space="preserve"> – תעבורה – רכב – מנועים ודלק</w:t>
      </w:r>
    </w:p>
    <w:p w14:paraId="450DEDCE" w14:textId="77777777" w:rsidR="002A7F1E" w:rsidRDefault="002A7F1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91760" w:rsidRPr="00191760" w14:paraId="7C893C15" w14:textId="77777777">
        <w:tblPrEx>
          <w:tblCellMar>
            <w:top w:w="0" w:type="dxa"/>
            <w:bottom w:w="0" w:type="dxa"/>
          </w:tblCellMar>
        </w:tblPrEx>
        <w:tc>
          <w:tcPr>
            <w:tcW w:w="1247" w:type="dxa"/>
          </w:tcPr>
          <w:p w14:paraId="4268C995" w14:textId="77777777" w:rsidR="00191760" w:rsidRPr="00191760" w:rsidRDefault="00191760" w:rsidP="00191760">
            <w:pPr>
              <w:rPr>
                <w:rFonts w:cs="Frankruhel" w:hint="cs"/>
                <w:rtl/>
              </w:rPr>
            </w:pPr>
            <w:r>
              <w:rPr>
                <w:rtl/>
              </w:rPr>
              <w:t xml:space="preserve">סעיף 1 </w:t>
            </w:r>
          </w:p>
        </w:tc>
        <w:tc>
          <w:tcPr>
            <w:tcW w:w="5669" w:type="dxa"/>
          </w:tcPr>
          <w:p w14:paraId="490A397D" w14:textId="77777777" w:rsidR="00191760" w:rsidRPr="00191760" w:rsidRDefault="00191760" w:rsidP="00191760">
            <w:pPr>
              <w:rPr>
                <w:rFonts w:cs="Frankruhel" w:hint="cs"/>
                <w:rtl/>
              </w:rPr>
            </w:pPr>
            <w:r>
              <w:rPr>
                <w:rtl/>
              </w:rPr>
              <w:t>הגדרות</w:t>
            </w:r>
          </w:p>
        </w:tc>
        <w:tc>
          <w:tcPr>
            <w:tcW w:w="567" w:type="dxa"/>
          </w:tcPr>
          <w:p w14:paraId="284C3A84" w14:textId="77777777" w:rsidR="00191760" w:rsidRPr="00191760" w:rsidRDefault="00191760" w:rsidP="00191760">
            <w:pPr>
              <w:rPr>
                <w:rStyle w:val="Hyperlink"/>
                <w:rFonts w:hint="cs"/>
                <w:rtl/>
              </w:rPr>
            </w:pPr>
            <w:hyperlink w:anchor="Seif1" w:tooltip="הגדרות" w:history="1">
              <w:r w:rsidRPr="00191760">
                <w:rPr>
                  <w:rStyle w:val="Hyperlink"/>
                </w:rPr>
                <w:t>Go</w:t>
              </w:r>
            </w:hyperlink>
          </w:p>
        </w:tc>
        <w:tc>
          <w:tcPr>
            <w:tcW w:w="850" w:type="dxa"/>
          </w:tcPr>
          <w:p w14:paraId="0F6DA615"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91760" w:rsidRPr="00191760" w14:paraId="06D8CB37" w14:textId="77777777">
        <w:tblPrEx>
          <w:tblCellMar>
            <w:top w:w="0" w:type="dxa"/>
            <w:bottom w:w="0" w:type="dxa"/>
          </w:tblCellMar>
        </w:tblPrEx>
        <w:tc>
          <w:tcPr>
            <w:tcW w:w="1247" w:type="dxa"/>
          </w:tcPr>
          <w:p w14:paraId="37D2E445" w14:textId="77777777" w:rsidR="00191760" w:rsidRPr="00191760" w:rsidRDefault="00191760" w:rsidP="00191760">
            <w:pPr>
              <w:rPr>
                <w:rFonts w:cs="Frankruhel" w:hint="cs"/>
                <w:rtl/>
              </w:rPr>
            </w:pPr>
            <w:r>
              <w:rPr>
                <w:rtl/>
              </w:rPr>
              <w:t xml:space="preserve">סעיף 2 </w:t>
            </w:r>
          </w:p>
        </w:tc>
        <w:tc>
          <w:tcPr>
            <w:tcW w:w="5669" w:type="dxa"/>
          </w:tcPr>
          <w:p w14:paraId="308C019C" w14:textId="77777777" w:rsidR="00191760" w:rsidRPr="00191760" w:rsidRDefault="00191760" w:rsidP="00191760">
            <w:pPr>
              <w:rPr>
                <w:rFonts w:cs="Frankruhel" w:hint="cs"/>
                <w:rtl/>
              </w:rPr>
            </w:pPr>
            <w:r>
              <w:rPr>
                <w:rtl/>
              </w:rPr>
              <w:t>קביעת סוגי דלק</w:t>
            </w:r>
          </w:p>
        </w:tc>
        <w:tc>
          <w:tcPr>
            <w:tcW w:w="567" w:type="dxa"/>
          </w:tcPr>
          <w:p w14:paraId="06268FA6" w14:textId="77777777" w:rsidR="00191760" w:rsidRPr="00191760" w:rsidRDefault="00191760" w:rsidP="00191760">
            <w:pPr>
              <w:rPr>
                <w:rStyle w:val="Hyperlink"/>
                <w:rFonts w:hint="cs"/>
                <w:rtl/>
              </w:rPr>
            </w:pPr>
            <w:hyperlink w:anchor="Seif2" w:tooltip="קביעת סוגי דלק" w:history="1">
              <w:r w:rsidRPr="00191760">
                <w:rPr>
                  <w:rStyle w:val="Hyperlink"/>
                </w:rPr>
                <w:t>Go</w:t>
              </w:r>
            </w:hyperlink>
          </w:p>
        </w:tc>
        <w:tc>
          <w:tcPr>
            <w:tcW w:w="850" w:type="dxa"/>
          </w:tcPr>
          <w:p w14:paraId="10617BD8"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91760" w:rsidRPr="00191760" w14:paraId="36F0FB2C" w14:textId="77777777">
        <w:tblPrEx>
          <w:tblCellMar>
            <w:top w:w="0" w:type="dxa"/>
            <w:bottom w:w="0" w:type="dxa"/>
          </w:tblCellMar>
        </w:tblPrEx>
        <w:tc>
          <w:tcPr>
            <w:tcW w:w="1247" w:type="dxa"/>
          </w:tcPr>
          <w:p w14:paraId="45F8A3DE" w14:textId="77777777" w:rsidR="00191760" w:rsidRPr="00191760" w:rsidRDefault="00191760" w:rsidP="00191760">
            <w:pPr>
              <w:rPr>
                <w:rFonts w:cs="Frankruhel" w:hint="cs"/>
                <w:rtl/>
              </w:rPr>
            </w:pPr>
            <w:r>
              <w:rPr>
                <w:rtl/>
              </w:rPr>
              <w:t xml:space="preserve">סעיף 3 </w:t>
            </w:r>
          </w:p>
        </w:tc>
        <w:tc>
          <w:tcPr>
            <w:tcW w:w="5669" w:type="dxa"/>
          </w:tcPr>
          <w:p w14:paraId="6EB35FE6" w14:textId="77777777" w:rsidR="00191760" w:rsidRPr="00191760" w:rsidRDefault="00191760" w:rsidP="00191760">
            <w:pPr>
              <w:rPr>
                <w:rFonts w:cs="Frankruhel" w:hint="cs"/>
                <w:rtl/>
              </w:rPr>
            </w:pPr>
            <w:r>
              <w:rPr>
                <w:rtl/>
              </w:rPr>
              <w:t>אחריות חברת הדלק</w:t>
            </w:r>
          </w:p>
        </w:tc>
        <w:tc>
          <w:tcPr>
            <w:tcW w:w="567" w:type="dxa"/>
          </w:tcPr>
          <w:p w14:paraId="7272FC1A" w14:textId="77777777" w:rsidR="00191760" w:rsidRPr="00191760" w:rsidRDefault="00191760" w:rsidP="00191760">
            <w:pPr>
              <w:rPr>
                <w:rStyle w:val="Hyperlink"/>
                <w:rFonts w:hint="cs"/>
                <w:rtl/>
              </w:rPr>
            </w:pPr>
            <w:hyperlink w:anchor="Seif3" w:tooltip="אחריות חברת הדלק" w:history="1">
              <w:r w:rsidRPr="00191760">
                <w:rPr>
                  <w:rStyle w:val="Hyperlink"/>
                </w:rPr>
                <w:t>Go</w:t>
              </w:r>
            </w:hyperlink>
          </w:p>
        </w:tc>
        <w:tc>
          <w:tcPr>
            <w:tcW w:w="850" w:type="dxa"/>
          </w:tcPr>
          <w:p w14:paraId="403E73E5"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91760" w:rsidRPr="00191760" w14:paraId="3655C8FF" w14:textId="77777777">
        <w:tblPrEx>
          <w:tblCellMar>
            <w:top w:w="0" w:type="dxa"/>
            <w:bottom w:w="0" w:type="dxa"/>
          </w:tblCellMar>
        </w:tblPrEx>
        <w:tc>
          <w:tcPr>
            <w:tcW w:w="1247" w:type="dxa"/>
          </w:tcPr>
          <w:p w14:paraId="55E09ECD" w14:textId="77777777" w:rsidR="00191760" w:rsidRPr="00191760" w:rsidRDefault="00191760" w:rsidP="00191760">
            <w:pPr>
              <w:rPr>
                <w:rFonts w:cs="Frankruhel" w:hint="cs"/>
                <w:rtl/>
              </w:rPr>
            </w:pPr>
            <w:r>
              <w:rPr>
                <w:rtl/>
              </w:rPr>
              <w:t xml:space="preserve">סעיף 4 </w:t>
            </w:r>
          </w:p>
        </w:tc>
        <w:tc>
          <w:tcPr>
            <w:tcW w:w="5669" w:type="dxa"/>
          </w:tcPr>
          <w:p w14:paraId="2538F3D1" w14:textId="77777777" w:rsidR="00191760" w:rsidRPr="00191760" w:rsidRDefault="00191760" w:rsidP="00191760">
            <w:pPr>
              <w:rPr>
                <w:rFonts w:cs="Frankruhel" w:hint="cs"/>
                <w:rtl/>
              </w:rPr>
            </w:pPr>
            <w:r>
              <w:rPr>
                <w:rtl/>
              </w:rPr>
              <w:t>אחריות מיתקן ניפוק</w:t>
            </w:r>
          </w:p>
        </w:tc>
        <w:tc>
          <w:tcPr>
            <w:tcW w:w="567" w:type="dxa"/>
          </w:tcPr>
          <w:p w14:paraId="14EE6E7F" w14:textId="77777777" w:rsidR="00191760" w:rsidRPr="00191760" w:rsidRDefault="00191760" w:rsidP="00191760">
            <w:pPr>
              <w:rPr>
                <w:rStyle w:val="Hyperlink"/>
                <w:rFonts w:hint="cs"/>
                <w:rtl/>
              </w:rPr>
            </w:pPr>
            <w:hyperlink w:anchor="Seif4" w:tooltip="אחריות מיתקן ניפוק" w:history="1">
              <w:r w:rsidRPr="00191760">
                <w:rPr>
                  <w:rStyle w:val="Hyperlink"/>
                </w:rPr>
                <w:t>Go</w:t>
              </w:r>
            </w:hyperlink>
          </w:p>
        </w:tc>
        <w:tc>
          <w:tcPr>
            <w:tcW w:w="850" w:type="dxa"/>
          </w:tcPr>
          <w:p w14:paraId="1A11C240"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91760" w:rsidRPr="00191760" w14:paraId="366C92DF" w14:textId="77777777">
        <w:tblPrEx>
          <w:tblCellMar>
            <w:top w:w="0" w:type="dxa"/>
            <w:bottom w:w="0" w:type="dxa"/>
          </w:tblCellMar>
        </w:tblPrEx>
        <w:tc>
          <w:tcPr>
            <w:tcW w:w="1247" w:type="dxa"/>
          </w:tcPr>
          <w:p w14:paraId="140CBDE0" w14:textId="77777777" w:rsidR="00191760" w:rsidRPr="00191760" w:rsidRDefault="00191760" w:rsidP="00191760">
            <w:pPr>
              <w:rPr>
                <w:rFonts w:cs="Frankruhel" w:hint="cs"/>
                <w:rtl/>
              </w:rPr>
            </w:pPr>
            <w:r>
              <w:rPr>
                <w:rtl/>
              </w:rPr>
              <w:t xml:space="preserve">סעיף 5 </w:t>
            </w:r>
          </w:p>
        </w:tc>
        <w:tc>
          <w:tcPr>
            <w:tcW w:w="5669" w:type="dxa"/>
          </w:tcPr>
          <w:p w14:paraId="47DCE8AE" w14:textId="77777777" w:rsidR="00191760" w:rsidRPr="00191760" w:rsidRDefault="00191760" w:rsidP="00191760">
            <w:pPr>
              <w:rPr>
                <w:rFonts w:cs="Frankruhel" w:hint="cs"/>
                <w:rtl/>
              </w:rPr>
            </w:pPr>
            <w:r>
              <w:rPr>
                <w:rtl/>
              </w:rPr>
              <w:t>אחריות בעל תחנת תדלוק</w:t>
            </w:r>
          </w:p>
        </w:tc>
        <w:tc>
          <w:tcPr>
            <w:tcW w:w="567" w:type="dxa"/>
          </w:tcPr>
          <w:p w14:paraId="00D73ECB" w14:textId="77777777" w:rsidR="00191760" w:rsidRPr="00191760" w:rsidRDefault="00191760" w:rsidP="00191760">
            <w:pPr>
              <w:rPr>
                <w:rStyle w:val="Hyperlink"/>
                <w:rFonts w:hint="cs"/>
                <w:rtl/>
              </w:rPr>
            </w:pPr>
            <w:hyperlink w:anchor="Seif5" w:tooltip="אחריות בעל תחנת תדלוק" w:history="1">
              <w:r w:rsidRPr="00191760">
                <w:rPr>
                  <w:rStyle w:val="Hyperlink"/>
                </w:rPr>
                <w:t>Go</w:t>
              </w:r>
            </w:hyperlink>
          </w:p>
        </w:tc>
        <w:tc>
          <w:tcPr>
            <w:tcW w:w="850" w:type="dxa"/>
          </w:tcPr>
          <w:p w14:paraId="5C90B495"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91760" w:rsidRPr="00191760" w14:paraId="6119E5B6" w14:textId="77777777">
        <w:tblPrEx>
          <w:tblCellMar>
            <w:top w:w="0" w:type="dxa"/>
            <w:bottom w:w="0" w:type="dxa"/>
          </w:tblCellMar>
        </w:tblPrEx>
        <w:tc>
          <w:tcPr>
            <w:tcW w:w="1247" w:type="dxa"/>
          </w:tcPr>
          <w:p w14:paraId="7E4B32AD" w14:textId="77777777" w:rsidR="00191760" w:rsidRPr="00191760" w:rsidRDefault="00191760" w:rsidP="00191760">
            <w:pPr>
              <w:rPr>
                <w:rFonts w:cs="Frankruhel" w:hint="cs"/>
                <w:rtl/>
              </w:rPr>
            </w:pPr>
            <w:r>
              <w:rPr>
                <w:rtl/>
              </w:rPr>
              <w:t xml:space="preserve">סעיף 6 </w:t>
            </w:r>
          </w:p>
        </w:tc>
        <w:tc>
          <w:tcPr>
            <w:tcW w:w="5669" w:type="dxa"/>
          </w:tcPr>
          <w:p w14:paraId="25E4037F" w14:textId="77777777" w:rsidR="00191760" w:rsidRPr="00191760" w:rsidRDefault="00191760" w:rsidP="00191760">
            <w:pPr>
              <w:rPr>
                <w:rFonts w:cs="Frankruhel" w:hint="cs"/>
                <w:rtl/>
              </w:rPr>
            </w:pPr>
            <w:r>
              <w:rPr>
                <w:rtl/>
              </w:rPr>
              <w:t>אחריות מוביל</w:t>
            </w:r>
          </w:p>
        </w:tc>
        <w:tc>
          <w:tcPr>
            <w:tcW w:w="567" w:type="dxa"/>
          </w:tcPr>
          <w:p w14:paraId="3766E14D" w14:textId="77777777" w:rsidR="00191760" w:rsidRPr="00191760" w:rsidRDefault="00191760" w:rsidP="00191760">
            <w:pPr>
              <w:rPr>
                <w:rStyle w:val="Hyperlink"/>
                <w:rFonts w:hint="cs"/>
                <w:rtl/>
              </w:rPr>
            </w:pPr>
            <w:hyperlink w:anchor="Seif6" w:tooltip="אחריות מוביל" w:history="1">
              <w:r w:rsidRPr="00191760">
                <w:rPr>
                  <w:rStyle w:val="Hyperlink"/>
                </w:rPr>
                <w:t>Go</w:t>
              </w:r>
            </w:hyperlink>
          </w:p>
        </w:tc>
        <w:tc>
          <w:tcPr>
            <w:tcW w:w="850" w:type="dxa"/>
          </w:tcPr>
          <w:p w14:paraId="00DE095D"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191760" w:rsidRPr="00191760" w14:paraId="047A3B3D" w14:textId="77777777">
        <w:tblPrEx>
          <w:tblCellMar>
            <w:top w:w="0" w:type="dxa"/>
            <w:bottom w:w="0" w:type="dxa"/>
          </w:tblCellMar>
        </w:tblPrEx>
        <w:tc>
          <w:tcPr>
            <w:tcW w:w="1247" w:type="dxa"/>
          </w:tcPr>
          <w:p w14:paraId="398E6869" w14:textId="77777777" w:rsidR="00191760" w:rsidRPr="00191760" w:rsidRDefault="00191760" w:rsidP="00191760">
            <w:pPr>
              <w:rPr>
                <w:rFonts w:cs="Frankruhel" w:hint="cs"/>
                <w:rtl/>
              </w:rPr>
            </w:pPr>
            <w:r>
              <w:rPr>
                <w:rtl/>
              </w:rPr>
              <w:t xml:space="preserve">סעיף 7 </w:t>
            </w:r>
          </w:p>
        </w:tc>
        <w:tc>
          <w:tcPr>
            <w:tcW w:w="5669" w:type="dxa"/>
          </w:tcPr>
          <w:p w14:paraId="27485BAA" w14:textId="77777777" w:rsidR="00191760" w:rsidRPr="00191760" w:rsidRDefault="00191760" w:rsidP="00191760">
            <w:pPr>
              <w:rPr>
                <w:rFonts w:cs="Frankruhel" w:hint="cs"/>
                <w:rtl/>
              </w:rPr>
            </w:pPr>
            <w:r>
              <w:rPr>
                <w:rtl/>
              </w:rPr>
              <w:t>חובות ספק חותם</w:t>
            </w:r>
          </w:p>
        </w:tc>
        <w:tc>
          <w:tcPr>
            <w:tcW w:w="567" w:type="dxa"/>
          </w:tcPr>
          <w:p w14:paraId="1DF1423B" w14:textId="77777777" w:rsidR="00191760" w:rsidRPr="00191760" w:rsidRDefault="00191760" w:rsidP="00191760">
            <w:pPr>
              <w:rPr>
                <w:rStyle w:val="Hyperlink"/>
                <w:rFonts w:hint="cs"/>
                <w:rtl/>
              </w:rPr>
            </w:pPr>
            <w:hyperlink w:anchor="Seif7" w:tooltip="חובות ספק חותם" w:history="1">
              <w:r w:rsidRPr="00191760">
                <w:rPr>
                  <w:rStyle w:val="Hyperlink"/>
                </w:rPr>
                <w:t>Go</w:t>
              </w:r>
            </w:hyperlink>
          </w:p>
        </w:tc>
        <w:tc>
          <w:tcPr>
            <w:tcW w:w="850" w:type="dxa"/>
          </w:tcPr>
          <w:p w14:paraId="4B86911F"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191760" w:rsidRPr="00191760" w14:paraId="6F3C6BEA" w14:textId="77777777">
        <w:tblPrEx>
          <w:tblCellMar>
            <w:top w:w="0" w:type="dxa"/>
            <w:bottom w:w="0" w:type="dxa"/>
          </w:tblCellMar>
        </w:tblPrEx>
        <w:tc>
          <w:tcPr>
            <w:tcW w:w="1247" w:type="dxa"/>
          </w:tcPr>
          <w:p w14:paraId="603F58FE" w14:textId="77777777" w:rsidR="00191760" w:rsidRPr="00191760" w:rsidRDefault="00191760" w:rsidP="00191760">
            <w:pPr>
              <w:rPr>
                <w:rFonts w:cs="Frankruhel" w:hint="cs"/>
                <w:rtl/>
              </w:rPr>
            </w:pPr>
            <w:r>
              <w:rPr>
                <w:rtl/>
              </w:rPr>
              <w:t xml:space="preserve">סעיף 8 </w:t>
            </w:r>
          </w:p>
        </w:tc>
        <w:tc>
          <w:tcPr>
            <w:tcW w:w="5669" w:type="dxa"/>
          </w:tcPr>
          <w:p w14:paraId="7945ED33" w14:textId="77777777" w:rsidR="00191760" w:rsidRPr="00191760" w:rsidRDefault="00191760" w:rsidP="00191760">
            <w:pPr>
              <w:rPr>
                <w:rFonts w:cs="Frankruhel" w:hint="cs"/>
                <w:rtl/>
              </w:rPr>
            </w:pPr>
            <w:r>
              <w:rPr>
                <w:rtl/>
              </w:rPr>
              <w:t>תחילה והוראת מעבר</w:t>
            </w:r>
          </w:p>
        </w:tc>
        <w:tc>
          <w:tcPr>
            <w:tcW w:w="567" w:type="dxa"/>
          </w:tcPr>
          <w:p w14:paraId="0AA9B112" w14:textId="77777777" w:rsidR="00191760" w:rsidRPr="00191760" w:rsidRDefault="00191760" w:rsidP="00191760">
            <w:pPr>
              <w:rPr>
                <w:rStyle w:val="Hyperlink"/>
                <w:rFonts w:hint="cs"/>
                <w:rtl/>
              </w:rPr>
            </w:pPr>
            <w:hyperlink w:anchor="Seif8" w:tooltip="תחילה והוראת מעבר" w:history="1">
              <w:r w:rsidRPr="00191760">
                <w:rPr>
                  <w:rStyle w:val="Hyperlink"/>
                </w:rPr>
                <w:t>Go</w:t>
              </w:r>
            </w:hyperlink>
          </w:p>
        </w:tc>
        <w:tc>
          <w:tcPr>
            <w:tcW w:w="850" w:type="dxa"/>
          </w:tcPr>
          <w:p w14:paraId="2AFAB69D" w14:textId="77777777" w:rsidR="00191760" w:rsidRPr="00191760" w:rsidRDefault="00191760" w:rsidP="001917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bl>
    <w:p w14:paraId="7C04E9C3" w14:textId="77777777" w:rsidR="002A7F1E" w:rsidRDefault="002A7F1E">
      <w:pPr>
        <w:pStyle w:val="big-header"/>
        <w:ind w:left="0" w:right="1134"/>
        <w:rPr>
          <w:rFonts w:cs="FrankRuehl" w:hint="cs"/>
          <w:sz w:val="32"/>
          <w:rtl/>
        </w:rPr>
      </w:pPr>
    </w:p>
    <w:p w14:paraId="6388E47C" w14:textId="77777777" w:rsidR="002A7F1E" w:rsidRDefault="002A7F1E" w:rsidP="00C576BD">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הפעלת רכב (מנועים ודלק) (ניפוק דלק במכלית), תשס"ח-2007</w:t>
      </w:r>
      <w:r>
        <w:rPr>
          <w:rStyle w:val="default"/>
          <w:sz w:val="22"/>
          <w:szCs w:val="22"/>
          <w:rtl/>
        </w:rPr>
        <w:footnoteReference w:customMarkFollows="1" w:id="1"/>
        <w:t>*</w:t>
      </w:r>
    </w:p>
    <w:p w14:paraId="15B252A0"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2(1), 4(1), (4), (5) ו</w:t>
      </w:r>
      <w:r>
        <w:rPr>
          <w:rStyle w:val="default"/>
          <w:rFonts w:cs="FrankRuehl" w:hint="cs"/>
          <w:rtl/>
        </w:rPr>
        <w:t>-</w:t>
      </w:r>
      <w:r>
        <w:rPr>
          <w:rStyle w:val="default"/>
          <w:rFonts w:cs="FrankRuehl"/>
          <w:rtl/>
        </w:rPr>
        <w:t>20 לחוק הפעלת רכב (מנועים ודלק), התשכ"א</w:t>
      </w:r>
      <w:r>
        <w:rPr>
          <w:rStyle w:val="default"/>
          <w:rFonts w:cs="FrankRuehl" w:hint="cs"/>
          <w:rtl/>
        </w:rPr>
        <w:t>-1961</w:t>
      </w:r>
      <w:r>
        <w:rPr>
          <w:rStyle w:val="default"/>
          <w:rFonts w:cs="FrankRuehl"/>
          <w:rtl/>
        </w:rPr>
        <w:t xml:space="preserve"> (להלן – החוק), בהתייעצות עם שר התחבורה והבטיחות בדרכים, ובאישור ועדת הכלכלה של הכנסת לפי סעיף 21א לחוק</w:t>
      </w:r>
      <w:r>
        <w:rPr>
          <w:rStyle w:val="default"/>
          <w:rFonts w:cs="FrankRuehl" w:hint="cs"/>
          <w:rtl/>
        </w:rPr>
        <w:t>-</w:t>
      </w:r>
      <w:r>
        <w:rPr>
          <w:rStyle w:val="default"/>
          <w:rFonts w:cs="FrankRuehl"/>
          <w:rtl/>
        </w:rPr>
        <w:t>יסוד: הכנסת, וסעיף 2(ב) לחוק העונשין, התשל"ז</w:t>
      </w:r>
      <w:r>
        <w:rPr>
          <w:rStyle w:val="default"/>
          <w:rFonts w:cs="FrankRuehl" w:hint="cs"/>
          <w:rtl/>
        </w:rPr>
        <w:t>-1977</w:t>
      </w:r>
      <w:r>
        <w:rPr>
          <w:rStyle w:val="default"/>
          <w:rFonts w:cs="FrankRuehl"/>
          <w:rtl/>
        </w:rPr>
        <w:t>, אני מצווה לאמור:</w:t>
      </w:r>
    </w:p>
    <w:p w14:paraId="751874FA" w14:textId="77777777" w:rsidR="002A7F1E" w:rsidRDefault="002A7F1E">
      <w:pPr>
        <w:pStyle w:val="P00"/>
        <w:spacing w:before="72"/>
        <w:ind w:left="0" w:right="1134"/>
        <w:rPr>
          <w:rStyle w:val="default"/>
          <w:rFonts w:cs="FrankRuehl" w:hint="cs"/>
          <w:rtl/>
        </w:rPr>
      </w:pPr>
      <w:bookmarkStart w:id="0" w:name="Seif1"/>
      <w:bookmarkEnd w:id="0"/>
      <w:r>
        <w:rPr>
          <w:rFonts w:cs="Miriam"/>
          <w:lang w:val="he-IL"/>
        </w:rPr>
        <w:pict w14:anchorId="2CC7A933">
          <v:rect id="_x0000_s1026" style="position:absolute;left:0;text-align:left;margin-left:464.35pt;margin-top:7.1pt;width:75.05pt;height:16.95pt;z-index:251653120" o:allowincell="f" filled="f" stroked="f" strokecolor="lime" strokeweight=".25pt">
            <v:textbox style="mso-next-textbox:#_x0000_s1026" inset="0,0,0,0">
              <w:txbxContent>
                <w:p w14:paraId="32EBB70E" w14:textId="77777777" w:rsidR="002A7F1E" w:rsidRDefault="002A7F1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בצו זה –</w:t>
      </w:r>
    </w:p>
    <w:p w14:paraId="464C8525"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מיתקן ניפוק" – הבעלים, המחזיק או המפעיל של מיתקן ניפוק;</w:t>
      </w:r>
    </w:p>
    <w:p w14:paraId="009CACB2"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תחנת תדלוק" – כל אחד מאלה:</w:t>
      </w:r>
    </w:p>
    <w:p w14:paraId="1599CA62"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רישיון העסק או ההיתר הזמני לפי חוק רישוי עסקים, התשכ"ח</w:t>
      </w:r>
      <w:r>
        <w:rPr>
          <w:rStyle w:val="default"/>
          <w:rFonts w:cs="FrankRuehl" w:hint="cs"/>
          <w:rtl/>
        </w:rPr>
        <w:t>-1968</w:t>
      </w:r>
      <w:r>
        <w:rPr>
          <w:rStyle w:val="default"/>
          <w:rFonts w:cs="FrankRuehl"/>
          <w:rtl/>
        </w:rPr>
        <w:t>, של תחנת התדלוק;</w:t>
      </w:r>
    </w:p>
    <w:p w14:paraId="47F5E167"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האדם שבהשגחתו, בפיקוחו או בהנהלתו פועלת תחנת תדלוק;</w:t>
      </w:r>
    </w:p>
    <w:p w14:paraId="3ED4FC8E" w14:textId="77777777" w:rsidR="002A7F1E" w:rsidRDefault="002A7F1E">
      <w:pPr>
        <w:pStyle w:val="P00"/>
        <w:spacing w:before="72"/>
        <w:ind w:left="1021" w:right="1134"/>
        <w:rPr>
          <w:rStyle w:val="default"/>
          <w:rFonts w:cs="FrankRuehl" w:hint="cs"/>
          <w:rtl/>
        </w:rPr>
      </w:pPr>
      <w:r>
        <w:rPr>
          <w:rStyle w:val="default"/>
          <w:rFonts w:cs="FrankRuehl"/>
          <w:rtl/>
        </w:rPr>
        <w:t>למעט בעל המקרקעין שעליהם התחנה, אשר אינו ממנה את המפעיל או את מנהל התחנה, ואין לו כל השפעה על הנעשה בתחנה;</w:t>
      </w:r>
    </w:p>
    <w:p w14:paraId="0BE9A45D"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"היתר לנהיגת רכב המוביל חומר מסוכן" – היתר לנהיגת רכב המוביל חומר מסוכן לפי תקנה 11(א) לתקנות שירותי הובלה, התשס"א</w:t>
      </w:r>
      <w:r>
        <w:rPr>
          <w:rStyle w:val="default"/>
          <w:rFonts w:cs="FrankRuehl" w:hint="cs"/>
          <w:rtl/>
        </w:rPr>
        <w:t>-2001</w:t>
      </w:r>
      <w:r>
        <w:rPr>
          <w:rStyle w:val="default"/>
          <w:rFonts w:cs="FrankRuehl"/>
          <w:rtl/>
        </w:rPr>
        <w:t xml:space="preserve"> (להלן – תקנות שירותי הובלה);</w:t>
      </w:r>
    </w:p>
    <w:p w14:paraId="1D532FEC"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מנהל מינהל הדלק במשרד התשתיות הלאומיות;</w:t>
      </w:r>
    </w:p>
    <w:p w14:paraId="1B6223B0"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"חברת דלק" – מי שעוסק בשיווק או בהספקה של דלק לתחנת תדלוק;</w:t>
      </w:r>
    </w:p>
    <w:p w14:paraId="1EFFDE32"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"מוביל" – יחיד או תאגיד או אדם מטעמו של התאגיד המפעיל מכלית להובלת דלק לתחנת תדלוק;</w:t>
      </w:r>
    </w:p>
    <w:p w14:paraId="58FBF409"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"מוצר דלק" – בנזין, סולר לתחבורה או מוצר אחר שנקבע כאמור בסעיף 2, למעט גפ"מ</w:t>
      </w:r>
      <w:r>
        <w:rPr>
          <w:rStyle w:val="default"/>
          <w:rFonts w:cs="FrankRuehl" w:hint="cs"/>
          <w:rtl/>
        </w:rPr>
        <w:t>;</w:t>
      </w:r>
    </w:p>
    <w:p w14:paraId="54CDEF3C"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"מכלית" – רכב מסחרי כהגדרתו בפקודת התעבורה, הרשאי לפי רישיונו להוביל דלק</w:t>
      </w:r>
      <w:r>
        <w:rPr>
          <w:rStyle w:val="default"/>
          <w:rFonts w:cs="FrankRuehl" w:hint="cs"/>
          <w:rtl/>
        </w:rPr>
        <w:t>;</w:t>
      </w:r>
    </w:p>
    <w:p w14:paraId="7B5FB533"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"מיתקן ניפוק" – מיתקן המנפק למכליות מוצרי דלק בעבור חברות דלק ותחנות תדלוק;</w:t>
      </w:r>
    </w:p>
    <w:p w14:paraId="21B74EA7"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"מיתקן ניפוק רשום" – מיתקן ניפוק שמפעילה חברה הרשומה כחברה העוסקת בניפוק דלק</w:t>
      </w:r>
      <w:r>
        <w:rPr>
          <w:rStyle w:val="default"/>
          <w:rFonts w:cs="FrankRuehl" w:hint="cs"/>
          <w:rtl/>
        </w:rPr>
        <w:t xml:space="preserve"> </w:t>
      </w:r>
      <w:r>
        <w:rPr>
          <w:rStyle w:val="default"/>
          <w:rFonts w:cs="FrankRuehl"/>
          <w:rtl/>
        </w:rPr>
        <w:t>במרשם המתנהל במינהל הדלק לפי חוק ההסדרים במשק המדינה (תיקוני חקיקה להשגת יעדי התקציב והמדיניות הכלכלית לשנת 2001), התשס"א</w:t>
      </w:r>
      <w:r>
        <w:rPr>
          <w:rStyle w:val="default"/>
          <w:rFonts w:cs="FrankRuehl" w:hint="cs"/>
          <w:rtl/>
        </w:rPr>
        <w:t>-2001</w:t>
      </w:r>
      <w:r>
        <w:rPr>
          <w:rStyle w:val="default"/>
          <w:rFonts w:cs="FrankRuehl"/>
          <w:rtl/>
        </w:rPr>
        <w:t>;</w:t>
      </w:r>
    </w:p>
    <w:p w14:paraId="10513084"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"מעבדה מאושרת" – כמשמעותה בסעיף 12 לחוק התקנים, התשי"ג</w:t>
      </w:r>
      <w:r>
        <w:rPr>
          <w:rStyle w:val="default"/>
          <w:rFonts w:cs="FrankRuehl" w:hint="cs"/>
          <w:rtl/>
        </w:rPr>
        <w:t>-1953</w:t>
      </w:r>
      <w:r>
        <w:rPr>
          <w:rStyle w:val="default"/>
          <w:rFonts w:cs="FrankRuehl"/>
          <w:rtl/>
        </w:rPr>
        <w:t xml:space="preserve"> (להלן – חוק התקנים);</w:t>
      </w:r>
    </w:p>
    <w:p w14:paraId="15BEF53F"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"סעפת" – מאסף צינורות המאפשר להזרים דלק בין תאי המכלית ובין התאים לצינור חיצוני;</w:t>
      </w:r>
    </w:p>
    <w:p w14:paraId="59D33BB1"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מוביל" – רישיון מוביל לפי תקנה 5(א) לתקנות שירותי הובלה;</w:t>
      </w:r>
    </w:p>
    <w:p w14:paraId="17A5CBEC"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"שטר מטען" – שטר שנתקיימו בו דרישות תקנות 9 ו</w:t>
      </w:r>
      <w:r>
        <w:rPr>
          <w:rStyle w:val="default"/>
          <w:rFonts w:cs="FrankRuehl" w:hint="cs"/>
          <w:rtl/>
        </w:rPr>
        <w:t>-</w:t>
      </w:r>
      <w:r>
        <w:rPr>
          <w:rStyle w:val="default"/>
          <w:rFonts w:cs="FrankRuehl"/>
          <w:rtl/>
        </w:rPr>
        <w:t>20 לתקנות שירותי הובלה, התשס"א-</w:t>
      </w:r>
      <w:r>
        <w:rPr>
          <w:rStyle w:val="default"/>
          <w:rFonts w:cs="FrankRuehl" w:hint="cs"/>
          <w:rtl/>
        </w:rPr>
        <w:t>2001</w:t>
      </w:r>
      <w:r>
        <w:rPr>
          <w:rStyle w:val="default"/>
          <w:rFonts w:cs="FrankRuehl"/>
          <w:rtl/>
        </w:rPr>
        <w:t>, או מסמך אחר כמשמעותו בסעיף 14(א)(2) לחוק שירותי הובלה;</w:t>
      </w:r>
    </w:p>
    <w:p w14:paraId="4E8CCF4F"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"תחנת תדלוק" – אתר שבו מוכרים או מספקים דלק לציבור בדרך של תדלוק;</w:t>
      </w:r>
    </w:p>
    <w:p w14:paraId="0AF9FAD8"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"תקן" – תקן ישראלי רשמי, כמשמעותו בסעיף 8(א) לחוק התקנים.</w:t>
      </w:r>
    </w:p>
    <w:p w14:paraId="3318EE96" w14:textId="77777777" w:rsidR="002A7F1E" w:rsidRDefault="002A7F1E">
      <w:pPr>
        <w:pStyle w:val="P00"/>
        <w:spacing w:before="72"/>
        <w:ind w:left="0" w:right="1134"/>
        <w:rPr>
          <w:rStyle w:val="default"/>
          <w:rFonts w:cs="FrankRuehl" w:hint="cs"/>
          <w:rtl/>
        </w:rPr>
      </w:pPr>
      <w:bookmarkStart w:id="1" w:name="Seif2"/>
      <w:bookmarkEnd w:id="1"/>
      <w:r>
        <w:rPr>
          <w:rFonts w:cs="Miriam"/>
          <w:lang w:val="he-IL"/>
        </w:rPr>
        <w:pict w14:anchorId="02B2D74F">
          <v:rect id="_x0000_s1250" style="position:absolute;left:0;text-align:left;margin-left:464.35pt;margin-top:7.1pt;width:75.05pt;height:16.95pt;z-index:251654144" o:allowincell="f" filled="f" stroked="f" strokecolor="lime" strokeweight=".25pt">
            <v:textbox style="mso-next-textbox:#_x0000_s1250" inset="0,0,0,0">
              <w:txbxContent>
                <w:p w14:paraId="7143DA71" w14:textId="77777777" w:rsidR="002A7F1E" w:rsidRDefault="002A7F1E">
                  <w:pPr>
                    <w:spacing w:line="160" w:lineRule="exact"/>
                    <w:rPr>
                      <w:rFonts w:cs="Miriam" w:hint="cs"/>
                      <w:noProof/>
                      <w:sz w:val="18"/>
                      <w:szCs w:val="18"/>
                      <w:rtl/>
                    </w:rPr>
                  </w:pPr>
                  <w:r>
                    <w:rPr>
                      <w:rFonts w:cs="Miriam" w:hint="cs"/>
                      <w:sz w:val="18"/>
                      <w:szCs w:val="18"/>
                      <w:rtl/>
                    </w:rPr>
                    <w:t>קביעת סוגי דלק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רכב מנועי יופעל בבנזין, סולר גפ"מ או דלק אחר שייקבע לפי החוק, ובלבד שהוא עומד בדרישות תקן לאותו מוצר ובדרישות צו לפי החוק, אם הותקן לגביו.</w:t>
      </w:r>
    </w:p>
    <w:p w14:paraId="5E85BA38" w14:textId="77777777" w:rsidR="002A7F1E" w:rsidRDefault="002A7F1E">
      <w:pPr>
        <w:pStyle w:val="P00"/>
        <w:spacing w:before="72"/>
        <w:ind w:left="0" w:right="1134"/>
        <w:rPr>
          <w:rStyle w:val="default"/>
          <w:rFonts w:cs="FrankRuehl" w:hint="cs"/>
          <w:rtl/>
        </w:rPr>
      </w:pPr>
      <w:bookmarkStart w:id="2" w:name="Seif3"/>
      <w:bookmarkEnd w:id="2"/>
      <w:r>
        <w:rPr>
          <w:rFonts w:cs="Miriam"/>
          <w:lang w:val="he-IL"/>
        </w:rPr>
        <w:pict w14:anchorId="21FA93A5">
          <v:rect id="_x0000_s1255" style="position:absolute;left:0;text-align:left;margin-left:464.35pt;margin-top:7.1pt;width:75.05pt;height:17.1pt;z-index:251655168" o:allowincell="f" filled="f" stroked="f" strokecolor="lime" strokeweight=".25pt">
            <v:textbox style="mso-next-textbox:#_x0000_s1255" inset="0,0,0,0">
              <w:txbxContent>
                <w:p w14:paraId="2A1C6F37" w14:textId="77777777" w:rsidR="002A7F1E" w:rsidRDefault="002A7F1E">
                  <w:pPr>
                    <w:spacing w:line="160" w:lineRule="exact"/>
                    <w:rPr>
                      <w:rFonts w:cs="Miriam" w:hint="cs"/>
                      <w:noProof/>
                      <w:sz w:val="18"/>
                      <w:szCs w:val="18"/>
                      <w:rtl/>
                    </w:rPr>
                  </w:pPr>
                  <w:r>
                    <w:rPr>
                      <w:rFonts w:cs="Miriam" w:hint="cs"/>
                      <w:sz w:val="18"/>
                      <w:szCs w:val="18"/>
                      <w:rtl/>
                    </w:rPr>
                    <w:t>אחריות חברת הדלק</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חברת דלק תנקוט כל אמצעי סביר כדי להבטיח כי כל מוצר דלק שהיא מספקת</w:t>
      </w:r>
      <w:r>
        <w:rPr>
          <w:rStyle w:val="default"/>
          <w:rFonts w:cs="FrankRuehl" w:hint="cs"/>
          <w:rtl/>
        </w:rPr>
        <w:t xml:space="preserve"> </w:t>
      </w:r>
      <w:r>
        <w:rPr>
          <w:rStyle w:val="default"/>
          <w:rFonts w:cs="FrankRuehl"/>
          <w:rtl/>
        </w:rPr>
        <w:lastRenderedPageBreak/>
        <w:t>לתחנת תדלוק עומד בדרישות תקן ובדרישות לפי החוק, ובכלל אלה תוודא כי מוצר הדלק ינופק –</w:t>
      </w:r>
    </w:p>
    <w:p w14:paraId="4B45EC5B"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ממכל במיתקן ניפוק רשום;</w:t>
      </w:r>
    </w:p>
    <w:p w14:paraId="54893C1E"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ממכל במיתקן הניפוק אשר לגבי תכולתו בעת הניפוק נתקבלה תעודה של</w:t>
      </w:r>
      <w:r>
        <w:rPr>
          <w:rStyle w:val="default"/>
          <w:rFonts w:cs="FrankRuehl" w:hint="cs"/>
          <w:rtl/>
        </w:rPr>
        <w:t xml:space="preserve"> </w:t>
      </w:r>
      <w:r>
        <w:rPr>
          <w:rStyle w:val="default"/>
          <w:rFonts w:cs="FrankRuehl"/>
          <w:rtl/>
        </w:rPr>
        <w:t>מעבדה מאושרת ולפיה הדלק במכל עומד בדרישות התקן, ובדרישות צו לפי החוק;</w:t>
      </w:r>
    </w:p>
    <w:p w14:paraId="2FD43BAB" w14:textId="77777777" w:rsidR="002A7F1E" w:rsidRDefault="002A7F1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למכלית רק לאחר שהתאים המיועדים למילוי רוקנו מן הדלק המצוי בהם;</w:t>
      </w:r>
    </w:p>
    <w:p w14:paraId="7C01D0C1" w14:textId="77777777" w:rsidR="002A7F1E" w:rsidRDefault="002A7F1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לתא מכלית, המצויד בחותם, העומד בדרישת חלק 1 בתוספת והמכלית עומדת בדרישות הבקרה והדיווח הקבועות בחלק 2 בתוספת;</w:t>
      </w:r>
    </w:p>
    <w:p w14:paraId="6CB280CF" w14:textId="77777777" w:rsidR="002A7F1E" w:rsidRDefault="002A7F1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למכלית שאין בה סעפת קבועה או זמנית.</w:t>
      </w:r>
    </w:p>
    <w:p w14:paraId="1704796A"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לאחר שווידאה כי התקיימו כל התנאים האמורים בסעיף קטן (א), תהיה החברה אחראית לסגירת כל חותם בכל אחד מן הפתחים בתא המכלית, ולא תאשר את יציאת</w:t>
      </w:r>
      <w:r>
        <w:rPr>
          <w:rStyle w:val="default"/>
          <w:rFonts w:cs="FrankRuehl" w:hint="cs"/>
          <w:rtl/>
        </w:rPr>
        <w:t xml:space="preserve"> </w:t>
      </w:r>
      <w:r>
        <w:rPr>
          <w:rStyle w:val="default"/>
          <w:rFonts w:cs="FrankRuehl"/>
          <w:rtl/>
        </w:rPr>
        <w:t>המכלית מתחומי מיתקן הניפוק אל תחנת תדלוק, אלא אם כן כל חותם בכל תא מכלית</w:t>
      </w:r>
      <w:r>
        <w:rPr>
          <w:rStyle w:val="default"/>
          <w:rFonts w:cs="FrankRuehl" w:hint="cs"/>
          <w:rtl/>
        </w:rPr>
        <w:t xml:space="preserve"> </w:t>
      </w:r>
      <w:r>
        <w:rPr>
          <w:rStyle w:val="default"/>
          <w:rFonts w:cs="FrankRuehl"/>
          <w:rtl/>
        </w:rPr>
        <w:t>שנופק לו מוצר דלק סגור, המכלית מצוידת בשטר מטען, שמולאו כל פרטיו, והתקיימו כל שאר התנאים שבסעיף זה.</w:t>
      </w:r>
    </w:p>
    <w:p w14:paraId="21B2A6DC"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לשם קיום חובותיה לפי סעיפים קטנים (א) ו</w:t>
      </w:r>
      <w:r>
        <w:rPr>
          <w:rStyle w:val="default"/>
          <w:rFonts w:cs="FrankRuehl" w:hint="cs"/>
          <w:rtl/>
        </w:rPr>
        <w:t>-</w:t>
      </w:r>
      <w:r>
        <w:rPr>
          <w:rStyle w:val="default"/>
          <w:rFonts w:cs="FrankRuehl"/>
          <w:rtl/>
        </w:rPr>
        <w:t>(ב) רשאית החברה לעשות אחד מאלה:</w:t>
      </w:r>
    </w:p>
    <w:p w14:paraId="5DB8071C"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למנות נציגים מטעמה אשר יפעלו בתוך מיתקן הניפוק;</w:t>
      </w:r>
    </w:p>
    <w:p w14:paraId="77F5980F"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להתקשר עם מיתקן הניפוק בהסכם בכתב ולפיו יקצה מיתקן הניפוק עובדים</w:t>
      </w:r>
      <w:r>
        <w:rPr>
          <w:rStyle w:val="default"/>
          <w:rFonts w:cs="FrankRuehl" w:hint="cs"/>
          <w:rtl/>
        </w:rPr>
        <w:t xml:space="preserve"> </w:t>
      </w:r>
      <w:r>
        <w:rPr>
          <w:rStyle w:val="default"/>
          <w:rFonts w:cs="FrankRuehl"/>
          <w:rtl/>
        </w:rPr>
        <w:t>לביצוע פעולות אלה בשם חברת הדלק, יפעל בכפוף לחובות המנויות בסעיף</w:t>
      </w:r>
      <w:r>
        <w:rPr>
          <w:rStyle w:val="default"/>
          <w:rFonts w:cs="FrankRuehl" w:hint="cs"/>
          <w:rtl/>
        </w:rPr>
        <w:t xml:space="preserve"> </w:t>
      </w:r>
      <w:r>
        <w:rPr>
          <w:rStyle w:val="default"/>
          <w:rFonts w:cs="FrankRuehl"/>
          <w:rtl/>
        </w:rPr>
        <w:t>זה, וימסור דיווח חודשי לחברת הדלק על האמצעים שהוא נוקט לביצוע חובות אלה.</w:t>
      </w:r>
    </w:p>
    <w:p w14:paraId="23D75DF4" w14:textId="77777777" w:rsidR="002A7F1E" w:rsidRDefault="002A7F1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מיתקן ניפוק שהתקשר בהסכם כאמור בסעיף קטן (ג) יראו אותו כאחראי לפי הצו לבצע את החובות המוטלות על חברת הדלק לפי סעיף זה;</w:t>
      </w:r>
    </w:p>
    <w:p w14:paraId="183C1FB4"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לחברת הדלק יסוד סביר לחשד ולפיו לא קיים מיתקן הניפוק את</w:t>
      </w:r>
      <w:r>
        <w:rPr>
          <w:rStyle w:val="default"/>
          <w:rFonts w:cs="FrankRuehl" w:hint="cs"/>
          <w:rtl/>
        </w:rPr>
        <w:t xml:space="preserve"> </w:t>
      </w:r>
      <w:r>
        <w:rPr>
          <w:rStyle w:val="default"/>
          <w:rFonts w:cs="FrankRuehl"/>
          <w:rtl/>
        </w:rPr>
        <w:t>התחייבויותיו בהסכם לפי סעיף קטן (ג), תודיע החברה למיתקן הניפוק על ביטול</w:t>
      </w:r>
      <w:r>
        <w:rPr>
          <w:rStyle w:val="default"/>
          <w:rFonts w:cs="FrankRuehl" w:hint="cs"/>
          <w:rtl/>
        </w:rPr>
        <w:t xml:space="preserve"> </w:t>
      </w:r>
      <w:r>
        <w:rPr>
          <w:rStyle w:val="default"/>
          <w:rFonts w:cs="FrankRuehl"/>
          <w:rtl/>
        </w:rPr>
        <w:t>ההסכם, ותפעל כאמור בסעיף קטן (ג)(1), או תאסור לספק דלק לתחנות התדלוק שלה, אם הדלק נופק במיתקן הניפוק.</w:t>
      </w:r>
    </w:p>
    <w:p w14:paraId="5598E97F"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חברת דלק אחראית לוודא כי שחרור הנעילה של החותם בתחנת תדלוק נעשה בידי מי שהיא הסמיכה לכך לאחר שוידא קיום התנאים המפורטים בסעיף 5.</w:t>
      </w:r>
    </w:p>
    <w:p w14:paraId="66429450"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חברת דלק תשמור את כל תרשימי החותמים ומערכות הבקרה שלהם, כמפורט בתוספת, שלוש שנים לפחות מיום היווצרם.</w:t>
      </w:r>
    </w:p>
    <w:p w14:paraId="23409F79" w14:textId="77777777" w:rsidR="002A7F1E" w:rsidRDefault="002A7F1E">
      <w:pPr>
        <w:pStyle w:val="P00"/>
        <w:spacing w:before="72"/>
        <w:ind w:left="0" w:right="1134"/>
        <w:rPr>
          <w:rStyle w:val="default"/>
          <w:rFonts w:cs="FrankRuehl" w:hint="cs"/>
          <w:rtl/>
        </w:rPr>
      </w:pPr>
      <w:bookmarkStart w:id="3" w:name="Seif4"/>
      <w:bookmarkEnd w:id="3"/>
      <w:r>
        <w:rPr>
          <w:rFonts w:cs="Miriam"/>
          <w:lang w:val="he-IL"/>
        </w:rPr>
        <w:pict w14:anchorId="24FEDF49">
          <v:rect id="_x0000_s1256" style="position:absolute;left:0;text-align:left;margin-left:464.35pt;margin-top:7.1pt;width:75.05pt;height:16.95pt;z-index:251656192" o:allowincell="f" filled="f" stroked="f" strokecolor="lime" strokeweight=".25pt">
            <v:textbox style="mso-next-textbox:#_x0000_s1256" inset="0,0,0,0">
              <w:txbxContent>
                <w:p w14:paraId="5130F1FB" w14:textId="77777777" w:rsidR="002A7F1E" w:rsidRDefault="002A7F1E">
                  <w:pPr>
                    <w:spacing w:line="160" w:lineRule="exact"/>
                    <w:rPr>
                      <w:rFonts w:cs="Miriam" w:hint="cs"/>
                      <w:noProof/>
                      <w:sz w:val="18"/>
                      <w:szCs w:val="18"/>
                      <w:rtl/>
                    </w:rPr>
                  </w:pPr>
                  <w:r>
                    <w:rPr>
                      <w:rFonts w:cs="Miriam" w:hint="cs"/>
                      <w:sz w:val="18"/>
                      <w:szCs w:val="18"/>
                      <w:rtl/>
                    </w:rPr>
                    <w:t>אחריות מיתקן ניפוק</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לא ינפק בעל מיתקן ניפוק מוצר דלק למכלית לשם הספקתו לתחנת תדלוק אלא</w:t>
      </w:r>
      <w:r>
        <w:rPr>
          <w:rStyle w:val="default"/>
          <w:rFonts w:cs="FrankRuehl" w:hint="cs"/>
          <w:rtl/>
        </w:rPr>
        <w:t xml:space="preserve"> </w:t>
      </w:r>
      <w:r>
        <w:rPr>
          <w:rStyle w:val="default"/>
          <w:rFonts w:cs="FrankRuehl"/>
          <w:rtl/>
        </w:rPr>
        <w:t>אם כן נקט כל אמצעי סביר להבטיח כי כל מוצר דלק שהוא מנפק עומד בדרישות תקן</w:t>
      </w:r>
      <w:r>
        <w:rPr>
          <w:rStyle w:val="default"/>
          <w:rFonts w:cs="FrankRuehl" w:hint="cs"/>
          <w:rtl/>
        </w:rPr>
        <w:t xml:space="preserve"> </w:t>
      </w:r>
      <w:r>
        <w:rPr>
          <w:rStyle w:val="default"/>
          <w:rFonts w:cs="FrankRuehl"/>
          <w:rtl/>
        </w:rPr>
        <w:t>ובדרישות לפי החוק, ובכלל זה ערך למוצר הדלק שבמכל המנפק בדיקה באמצעות מעבדה מאושרת, וכן וידא כי –</w:t>
      </w:r>
    </w:p>
    <w:p w14:paraId="0132B9B5"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במכלית מותקן חותם שמתקיימות בו דרישות חלק 1 בתוספת ויש אישור יצרן על התקנתו;</w:t>
      </w:r>
    </w:p>
    <w:p w14:paraId="120AF294"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קיים במיתקן מקום לריקון מכלית מדלק;</w:t>
      </w:r>
    </w:p>
    <w:p w14:paraId="4908D67B" w14:textId="77777777" w:rsidR="002A7F1E" w:rsidRDefault="002A7F1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במכלית אין סעפת קבועה או זמנית;</w:t>
      </w:r>
    </w:p>
    <w:p w14:paraId="7319134C" w14:textId="77777777" w:rsidR="002A7F1E" w:rsidRDefault="002A7F1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לבעל המכלית יש רישיון מוביל;</w:t>
      </w:r>
    </w:p>
    <w:p w14:paraId="24062E44" w14:textId="77777777" w:rsidR="002A7F1E" w:rsidRDefault="002A7F1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לנהג המכלית יש היתר לנהיגת רכב המוביל חומר מסוכן.</w:t>
      </w:r>
    </w:p>
    <w:p w14:paraId="1C29B0A9"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בעל מיתקן ניפוק לא יאפשר למכלית לצאת משטח המיתקן אלא לאחר שוידא כי המכלית מצוידת בשטר מטען, שמולאו כל פרטיו, וכי סגור כל חותם בכל תא מכלית שנופק לו מוצר דלק.</w:t>
      </w:r>
    </w:p>
    <w:p w14:paraId="066B0197"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לשם קיום חובות חברת דלק לפי צו זה, יאפשר מיתקן ניפוק לנציגי חברת דלק להיכנס אליו, ככל שיידרש.</w:t>
      </w:r>
    </w:p>
    <w:p w14:paraId="5228A830" w14:textId="77777777" w:rsidR="002A7F1E" w:rsidRDefault="002A7F1E">
      <w:pPr>
        <w:pStyle w:val="P00"/>
        <w:spacing w:before="72"/>
        <w:ind w:left="0" w:right="1134"/>
        <w:rPr>
          <w:rStyle w:val="default"/>
          <w:rFonts w:cs="FrankRuehl" w:hint="cs"/>
          <w:rtl/>
        </w:rPr>
      </w:pPr>
      <w:bookmarkStart w:id="4" w:name="Seif5"/>
      <w:bookmarkEnd w:id="4"/>
      <w:r>
        <w:rPr>
          <w:rFonts w:cs="Miriam"/>
          <w:lang w:val="he-IL"/>
        </w:rPr>
        <w:pict w14:anchorId="60C8C2CB">
          <v:rect id="_x0000_s1265" style="position:absolute;left:0;text-align:left;margin-left:464.35pt;margin-top:7.1pt;width:75.05pt;height:19.65pt;z-index:251657216" o:allowincell="f" filled="f" stroked="f" strokecolor="lime" strokeweight=".25pt">
            <v:textbox style="mso-next-textbox:#_x0000_s1265" inset="0,0,0,0">
              <w:txbxContent>
                <w:p w14:paraId="07C8F658" w14:textId="77777777" w:rsidR="002A7F1E" w:rsidRDefault="002A7F1E">
                  <w:pPr>
                    <w:pStyle w:val="a7"/>
                    <w:rPr>
                      <w:rFonts w:hint="cs"/>
                      <w:noProof/>
                      <w:rtl/>
                    </w:rPr>
                  </w:pPr>
                  <w:r>
                    <w:rPr>
                      <w:rFonts w:hint="cs"/>
                      <w:rtl/>
                    </w:rPr>
                    <w:t>אחריות בעל תחנת תדלוק</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בעל תחנת תדלוק לא יקבל מוצר דלק ולא יפרוק מוצר כאמור לתוך מכל אחסון המותקן בתחנה אלא אם כן וידא כי –</w:t>
      </w:r>
    </w:p>
    <w:p w14:paraId="7CC92B53"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מוצר הדלק נופק במיתקן ניפוק רשום;</w:t>
      </w:r>
    </w:p>
    <w:p w14:paraId="4C9012F3"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אין בנסיבות ההובלה, לרבות משך ההובלה, כדי לעורר חשד כי תא המכלית</w:t>
      </w:r>
      <w:r>
        <w:rPr>
          <w:rStyle w:val="default"/>
          <w:rFonts w:cs="FrankRuehl" w:hint="cs"/>
          <w:rtl/>
        </w:rPr>
        <w:t xml:space="preserve"> </w:t>
      </w:r>
      <w:r>
        <w:rPr>
          <w:rStyle w:val="default"/>
          <w:rFonts w:cs="FrankRuehl"/>
          <w:rtl/>
        </w:rPr>
        <w:t>שהובל בו מוצר הדלק נפתח או כי מוצר הדלק המסופק לתחנת התדלוק נמהל לאחר צאתו ממיתקן הניפוק;</w:t>
      </w:r>
    </w:p>
    <w:p w14:paraId="4E33E199" w14:textId="77777777" w:rsidR="002A7F1E" w:rsidRDefault="002A7F1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בידי נהג המכלית שטר מטען של מיתקן הניפוק המכיל את הפרטים המתאימים של ההובלה, וכל פרטיו מולאו;</w:t>
      </w:r>
    </w:p>
    <w:p w14:paraId="376284F2" w14:textId="77777777" w:rsidR="002A7F1E" w:rsidRDefault="002A7F1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מוצר הדלק הובל בתא מכלית המצויד בחותם תקין ומתקיימות בו דרישת חלק 1 בתוספת;</w:t>
      </w:r>
    </w:p>
    <w:p w14:paraId="59931400" w14:textId="77777777" w:rsidR="002A7F1E" w:rsidRDefault="002A7F1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במכלית מתקיימות דרישות הבקרה והדיווח שבחלק 2 בתוספת;</w:t>
      </w:r>
    </w:p>
    <w:p w14:paraId="7A7326E7" w14:textId="77777777" w:rsidR="002A7F1E" w:rsidRDefault="002A7F1E">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כל חותם בכל תא מכלית המיועד לפריקה בתחנה היה נעול עובר לפריקת הדלק בתחנה;</w:t>
      </w:r>
    </w:p>
    <w:p w14:paraId="2EA86321" w14:textId="77777777" w:rsidR="002A7F1E" w:rsidRDefault="002A7F1E">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מוצר הדלק הובל במכלית שאין בה סעפת קבועה או זמנית.</w:t>
      </w:r>
    </w:p>
    <w:p w14:paraId="0CEFC288"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בעל תחנת תדלוק הפועלת בתדלוק עצמי בלבד פטור מהוראות סעיף קטן (א), ואולם אם בתחנת התדלוק יסופק דלק שאינו עומד בדרישות החוק, יראו בבעל תחנת</w:t>
      </w:r>
      <w:r>
        <w:rPr>
          <w:rStyle w:val="default"/>
          <w:rFonts w:cs="FrankRuehl" w:hint="cs"/>
          <w:rtl/>
        </w:rPr>
        <w:t xml:space="preserve"> </w:t>
      </w:r>
      <w:r>
        <w:rPr>
          <w:rStyle w:val="default"/>
          <w:rFonts w:cs="FrankRuehl"/>
          <w:rtl/>
        </w:rPr>
        <w:t>התדלוק ובחברת הדלק שמספקת לה דלק, אחראים לביצוע עבירה של מכירת דלק שאינו עומד בדרישות החוק.</w:t>
      </w:r>
    </w:p>
    <w:p w14:paraId="65069134" w14:textId="77777777" w:rsidR="002A7F1E" w:rsidRDefault="002A7F1E">
      <w:pPr>
        <w:pStyle w:val="P00"/>
        <w:spacing w:before="72"/>
        <w:ind w:left="0" w:right="1134"/>
        <w:rPr>
          <w:rStyle w:val="default"/>
          <w:rFonts w:cs="FrankRuehl" w:hint="cs"/>
          <w:rtl/>
        </w:rPr>
      </w:pPr>
      <w:bookmarkStart w:id="5" w:name="Seif6"/>
      <w:bookmarkEnd w:id="5"/>
      <w:r>
        <w:rPr>
          <w:rFonts w:cs="Miriam"/>
          <w:lang w:val="he-IL"/>
        </w:rPr>
        <w:pict w14:anchorId="10E5C655">
          <v:rect id="_x0000_s1266" style="position:absolute;left:0;text-align:left;margin-left:464.35pt;margin-top:7.1pt;width:75.05pt;height:16.95pt;z-index:251658240" o:allowincell="f" filled="f" stroked="f" strokecolor="lime" strokeweight=".25pt">
            <v:textbox style="mso-next-textbox:#_x0000_s1266" inset="0,0,0,0">
              <w:txbxContent>
                <w:p w14:paraId="0EC67593" w14:textId="77777777" w:rsidR="002A7F1E" w:rsidRDefault="002A7F1E">
                  <w:pPr>
                    <w:spacing w:line="160" w:lineRule="exact"/>
                    <w:rPr>
                      <w:rFonts w:cs="Miriam" w:hint="cs"/>
                      <w:noProof/>
                      <w:sz w:val="18"/>
                      <w:szCs w:val="18"/>
                      <w:rtl/>
                    </w:rPr>
                  </w:pPr>
                  <w:r>
                    <w:rPr>
                      <w:rFonts w:cs="Miriam" w:hint="cs"/>
                      <w:sz w:val="18"/>
                      <w:szCs w:val="18"/>
                      <w:rtl/>
                    </w:rPr>
                    <w:t>אחריות מוביל</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מוביל לא יוביל מוצר דלק אלא אם כן הוא בעל רישיון מוביל וההובלה מתבצעת בידי נהג שהוא בעל היתר לנהיגת רכב המוביל חומר מסוכן.</w:t>
      </w:r>
    </w:p>
    <w:p w14:paraId="47FD61C4"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מוביל לא יספק דלק לתחנת תדלוק אלא אם כן לא פתח את תא המכלית המכיל את מוצר הדלק, לא אפשר לאחר לעשות זאת, לא התעורר אצלו חשד כי תא המכלית נפתח בידי אחר והוא וידא כי –</w:t>
      </w:r>
    </w:p>
    <w:p w14:paraId="5E9C68EE"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מוצר הדלק הוטען במכלית במיתקן ניפוק רשום;</w:t>
      </w:r>
    </w:p>
    <w:p w14:paraId="31724C4D"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במכלית מותקן חותם שיש אישור יצרן על התקנתו, העומד בדרישת חלק 1 בתוספת ומתקיימות בו דרישות הבקרה והדיווח שבחלק 2 בתוספת והחותם ננעל קודם צאתו ממיתקן הניפוק;</w:t>
      </w:r>
    </w:p>
    <w:p w14:paraId="08E5F7A6" w14:textId="77777777" w:rsidR="002A7F1E" w:rsidRDefault="002A7F1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קודם שנופק דלק למכלית רוקנו משאריות דלק כל תאי המכלית המיועדים למילוי;</w:t>
      </w:r>
    </w:p>
    <w:p w14:paraId="795A4E54" w14:textId="77777777" w:rsidR="002A7F1E" w:rsidRDefault="002A7F1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כל חותם בכל תא מכלית, שנופק לו דלק במיתקן ניפוק, ננעל קודם צאת המכלית ממיתקן הניפוק;</w:t>
      </w:r>
    </w:p>
    <w:p w14:paraId="187BE11B" w14:textId="77777777" w:rsidR="002A7F1E" w:rsidRDefault="002A7F1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במכלית אין סעפת קבועה או זמנית.</w:t>
      </w:r>
    </w:p>
    <w:p w14:paraId="6377948F" w14:textId="77777777" w:rsidR="002A7F1E" w:rsidRDefault="002A7F1E">
      <w:pPr>
        <w:pStyle w:val="P00"/>
        <w:spacing w:before="72"/>
        <w:ind w:left="0" w:right="1134"/>
        <w:rPr>
          <w:rStyle w:val="default"/>
          <w:rFonts w:cs="FrankRuehl" w:hint="cs"/>
          <w:rtl/>
        </w:rPr>
      </w:pPr>
      <w:bookmarkStart w:id="6" w:name="Seif7"/>
      <w:bookmarkEnd w:id="6"/>
      <w:r>
        <w:rPr>
          <w:rFonts w:cs="Miriam"/>
          <w:lang w:val="he-IL"/>
        </w:rPr>
        <w:pict w14:anchorId="59F66386">
          <v:rect id="_x0000_s1268" style="position:absolute;left:0;text-align:left;margin-left:464.35pt;margin-top:7.1pt;width:75.05pt;height:16.95pt;z-index:251659264" o:allowincell="f" filled="f" stroked="f" strokecolor="lime" strokeweight=".25pt">
            <v:textbox style="mso-next-textbox:#_x0000_s1268" inset="0,0,0,0">
              <w:txbxContent>
                <w:p w14:paraId="376E921C" w14:textId="77777777" w:rsidR="002A7F1E" w:rsidRDefault="002A7F1E">
                  <w:pPr>
                    <w:spacing w:line="160" w:lineRule="exact"/>
                    <w:rPr>
                      <w:rFonts w:cs="Miriam" w:hint="cs"/>
                      <w:noProof/>
                      <w:sz w:val="18"/>
                      <w:szCs w:val="18"/>
                      <w:rtl/>
                    </w:rPr>
                  </w:pPr>
                  <w:r>
                    <w:rPr>
                      <w:rFonts w:cs="Miriam" w:hint="cs"/>
                      <w:sz w:val="18"/>
                      <w:szCs w:val="18"/>
                      <w:rtl/>
                    </w:rPr>
                    <w:t>חובות ספק חותם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יספק אדם חותם, אלא אם כן קיים שני אלה:</w:t>
      </w:r>
    </w:p>
    <w:p w14:paraId="7D8B2449" w14:textId="77777777" w:rsidR="002A7F1E" w:rsidRDefault="002A7F1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סיפק לחברת הדלק שבכלי הרכב שלה הוא מתקין חותם, לפי בקשתה, מערכת בקרה העומדת בדרישות חלק 2 לתוספת (להלן – מערכת בקרה), ווידא כי היא פועלת באופן תקין;</w:t>
      </w:r>
    </w:p>
    <w:p w14:paraId="5DFC0BC3" w14:textId="77777777" w:rsidR="002A7F1E" w:rsidRDefault="002A7F1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מפעיל מערכת בקרה המספקת שירותים ומדווחת בזמן אמת לבעל</w:t>
      </w:r>
      <w:r>
        <w:rPr>
          <w:rStyle w:val="default"/>
          <w:rFonts w:cs="FrankRuehl" w:hint="cs"/>
          <w:rtl/>
        </w:rPr>
        <w:t xml:space="preserve"> </w:t>
      </w:r>
      <w:r>
        <w:rPr>
          <w:rStyle w:val="default"/>
          <w:rFonts w:cs="FrankRuehl"/>
          <w:rtl/>
        </w:rPr>
        <w:t>המכלית ולחברת דלק אשר בעבורה מבוצעת הובלה, ולהם בלבד, על כל הובלת דלק לתחנת תדלוק, המבוצעת במכלית שהוא מתקין בה חותם.</w:t>
      </w:r>
    </w:p>
    <w:p w14:paraId="295C32CD"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יסרב ספק חותם לספק חותם רק מן הטעם שהלקוח אינו חברת דלק ואינו קשור בלעדית עם חברת דלק, ולא יגביל את מספר חברות הדלק שמספקת להן מערכת הבקרה שירותים ודיווחים לגבי הובלות במכלית מסוימת.</w:t>
      </w:r>
    </w:p>
    <w:p w14:paraId="511598B8"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יסרב ספק חותם מטעם בלתי סביר להתקין לחברת דלק מערכת בקרה, או לספק לה תוכנה, קוד או כל אמצעי אחר שיאפשר לה לקבל שירותים ודיווחים ממערכת הבקרה שהוא מפעיל.</w:t>
      </w:r>
    </w:p>
    <w:p w14:paraId="4490B82A" w14:textId="77777777" w:rsidR="002A7F1E" w:rsidRDefault="002A7F1E">
      <w:pPr>
        <w:pStyle w:val="P00"/>
        <w:spacing w:before="72"/>
        <w:ind w:left="0" w:right="1134"/>
        <w:rPr>
          <w:rStyle w:val="default"/>
          <w:rFonts w:cs="FrankRuehl" w:hint="cs"/>
          <w:rtl/>
        </w:rPr>
      </w:pPr>
      <w:bookmarkStart w:id="7" w:name="Seif8"/>
      <w:bookmarkEnd w:id="7"/>
      <w:r>
        <w:rPr>
          <w:rFonts w:cs="Miriam"/>
          <w:lang w:val="he-IL"/>
        </w:rPr>
        <w:pict w14:anchorId="5C54F1CE">
          <v:rect id="_x0000_s1269" style="position:absolute;left:0;text-align:left;margin-left:464.35pt;margin-top:7.1pt;width:75.05pt;height:16.95pt;z-index:251660288" o:allowincell="f" filled="f" stroked="f" strokecolor="lime" strokeweight=".25pt">
            <v:textbox style="mso-next-textbox:#_x0000_s1269" inset="0,0,0,0">
              <w:txbxContent>
                <w:p w14:paraId="46A8CD0F" w14:textId="77777777" w:rsidR="002A7F1E" w:rsidRDefault="002A7F1E">
                  <w:pPr>
                    <w:spacing w:line="160" w:lineRule="exact"/>
                    <w:rPr>
                      <w:rFonts w:cs="Miriam" w:hint="cs"/>
                      <w:noProof/>
                      <w:sz w:val="18"/>
                      <w:szCs w:val="18"/>
                      <w:rtl/>
                    </w:rPr>
                  </w:pPr>
                  <w:r>
                    <w:rPr>
                      <w:rFonts w:cs="Miriam" w:hint="cs"/>
                      <w:sz w:val="18"/>
                      <w:szCs w:val="18"/>
                      <w:rtl/>
                    </w:rPr>
                    <w:t>תחילה והוראת מעבר</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תחילתו של צו זה, למעט סעיף 4(א)(2) 30 ימים מיום פרסומו.</w:t>
      </w:r>
    </w:p>
    <w:p w14:paraId="7EF5FD9E" w14:textId="77777777" w:rsidR="002A7F1E" w:rsidRDefault="002A7F1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תחילתו של סעיף 4(א)(2) ביום כ"ג בטבת התשס"ח (1 בינואר 2008).</w:t>
      </w:r>
    </w:p>
    <w:p w14:paraId="3E0F98D9" w14:textId="77777777" w:rsidR="00936551" w:rsidRDefault="00936551" w:rsidP="00936551">
      <w:pPr>
        <w:pStyle w:val="P00"/>
        <w:spacing w:before="72"/>
        <w:ind w:left="0" w:right="1134"/>
        <w:rPr>
          <w:rStyle w:val="default"/>
          <w:rFonts w:cs="FrankRuehl" w:hint="cs"/>
          <w:rtl/>
        </w:rPr>
      </w:pPr>
      <w:r>
        <w:rPr>
          <w:rFonts w:cs="FrankRuehl" w:hint="cs"/>
          <w:sz w:val="26"/>
          <w:rtl/>
          <w:lang w:eastAsia="en-US"/>
        </w:rPr>
        <w:pict w14:anchorId="41CD5BC7">
          <v:shapetype id="_x0000_t202" coordsize="21600,21600" o:spt="202" path="m,l,21600r21600,l21600,xe">
            <v:stroke joinstyle="miter"/>
            <v:path gradientshapeok="t" o:connecttype="rect"/>
          </v:shapetype>
          <v:shape id="_x0000_s1341" type="#_x0000_t202" style="position:absolute;left:0;text-align:left;margin-left:470.35pt;margin-top:7.1pt;width:1in;height:22pt;z-index:251662336" filled="f" stroked="f">
            <v:textbox inset="1mm,0,1mm,0">
              <w:txbxContent>
                <w:p w14:paraId="79307407" w14:textId="77777777" w:rsidR="00936551" w:rsidRDefault="00936551" w:rsidP="00936551">
                  <w:pPr>
                    <w:spacing w:line="160" w:lineRule="exact"/>
                    <w:rPr>
                      <w:rFonts w:cs="Miriam" w:hint="cs"/>
                      <w:noProof/>
                      <w:sz w:val="18"/>
                      <w:szCs w:val="18"/>
                      <w:rtl/>
                    </w:rPr>
                  </w:pPr>
                  <w:r>
                    <w:rPr>
                      <w:rFonts w:cs="Miriam" w:hint="cs"/>
                      <w:sz w:val="18"/>
                      <w:szCs w:val="18"/>
                      <w:rtl/>
                    </w:rPr>
                    <w:t>צו תשע"א-2011</w:t>
                  </w:r>
                </w:p>
                <w:p w14:paraId="52E020DC" w14:textId="77777777" w:rsidR="00936551" w:rsidRDefault="00936551" w:rsidP="00936551">
                  <w:pPr>
                    <w:spacing w:line="160" w:lineRule="exact"/>
                    <w:rPr>
                      <w:rFonts w:cs="Miriam" w:hint="cs"/>
                      <w:noProof/>
                      <w:sz w:val="18"/>
                      <w:szCs w:val="18"/>
                      <w:rtl/>
                    </w:rPr>
                  </w:pPr>
                  <w:r>
                    <w:rPr>
                      <w:rFonts w:cs="Miriam" w:hint="cs"/>
                      <w:noProof/>
                      <w:sz w:val="18"/>
                      <w:szCs w:val="18"/>
                      <w:rtl/>
                    </w:rPr>
                    <w:t>צו תשע"ב-2011</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על אף האמור בסעיף קטן (א), בתקופה שעד תום </w:t>
      </w:r>
      <w:r>
        <w:rPr>
          <w:rStyle w:val="default"/>
          <w:rFonts w:cs="FrankRuehl" w:hint="cs"/>
          <w:rtl/>
        </w:rPr>
        <w:t>שנתיים</w:t>
      </w:r>
      <w:r>
        <w:rPr>
          <w:rStyle w:val="default"/>
          <w:rFonts w:cs="FrankRuehl"/>
          <w:rtl/>
        </w:rPr>
        <w:t xml:space="preserve"> מיום שהודיע המנהל כי אישר את קיומו של חותם העומד בדרישות התוספת, יכול שבמקום חותם ומערכת בקרה, כהגדרתם בחלקים 1 ו</w:t>
      </w:r>
      <w:r>
        <w:rPr>
          <w:rStyle w:val="default"/>
          <w:rFonts w:cs="FrankRuehl" w:hint="cs"/>
          <w:rtl/>
        </w:rPr>
        <w:t>-</w:t>
      </w:r>
      <w:r>
        <w:rPr>
          <w:rStyle w:val="default"/>
          <w:rFonts w:cs="FrankRuehl"/>
          <w:rtl/>
        </w:rPr>
        <w:t xml:space="preserve">2 לתוספת, ייחתם כל תא מכלית בחותם מכני, ויחולו הוראות הצו בשינויים המחויבים; הודעת המנהל תפורסם ברשומות </w:t>
      </w:r>
      <w:r>
        <w:rPr>
          <w:rStyle w:val="default"/>
          <w:rFonts w:cs="FrankRuehl" w:hint="cs"/>
          <w:rtl/>
        </w:rPr>
        <w:t>עד יום כ"ה בטבת התשע"א (1 בינואר 2011)</w:t>
      </w:r>
      <w:r>
        <w:rPr>
          <w:rStyle w:val="default"/>
          <w:rFonts w:cs="FrankRuehl"/>
          <w:rtl/>
        </w:rPr>
        <w:t>; לעניין זה, "חותם מכני" – אבזר נעילה הנושא מספר מזהה ואינו ניתן לפתיחה אלא בפגימתו.</w:t>
      </w:r>
    </w:p>
    <w:p w14:paraId="77679FCF" w14:textId="77777777" w:rsidR="002A7F1E" w:rsidRDefault="00355E27" w:rsidP="00936551">
      <w:pPr>
        <w:pStyle w:val="P00"/>
        <w:spacing w:before="72"/>
        <w:ind w:left="0" w:right="1134"/>
        <w:rPr>
          <w:rStyle w:val="default"/>
          <w:rFonts w:cs="FrankRuehl" w:hint="cs"/>
          <w:rtl/>
        </w:rPr>
      </w:pPr>
      <w:r>
        <w:rPr>
          <w:rFonts w:cs="FrankRuehl" w:hint="cs"/>
          <w:sz w:val="26"/>
          <w:rtl/>
          <w:lang w:eastAsia="en-US"/>
        </w:rPr>
        <w:pict w14:anchorId="7E46C95D">
          <v:shape id="_x0000_s1340" type="#_x0000_t202" style="position:absolute;left:0;text-align:left;margin-left:470.35pt;margin-top:7.1pt;width:1in;height:11pt;z-index:251661312" filled="f" stroked="f">
            <v:textbox inset="1mm,0,1mm,0">
              <w:txbxContent>
                <w:p w14:paraId="330C04E4" w14:textId="77777777" w:rsidR="00560A60" w:rsidRDefault="00355E27" w:rsidP="00355E27">
                  <w:pPr>
                    <w:spacing w:line="160" w:lineRule="exact"/>
                    <w:rPr>
                      <w:rFonts w:cs="Miriam" w:hint="cs"/>
                      <w:noProof/>
                      <w:sz w:val="18"/>
                      <w:szCs w:val="18"/>
                      <w:rtl/>
                    </w:rPr>
                  </w:pPr>
                  <w:r>
                    <w:rPr>
                      <w:rFonts w:cs="Miriam" w:hint="cs"/>
                      <w:sz w:val="18"/>
                      <w:szCs w:val="18"/>
                      <w:rtl/>
                    </w:rPr>
                    <w:t xml:space="preserve">צו </w:t>
                  </w:r>
                  <w:r w:rsidR="00936551">
                    <w:rPr>
                      <w:rFonts w:cs="Miriam" w:hint="cs"/>
                      <w:sz w:val="18"/>
                      <w:szCs w:val="18"/>
                      <w:rtl/>
                    </w:rPr>
                    <w:t>תשע"ג-2013</w:t>
                  </w:r>
                </w:p>
              </w:txbxContent>
            </v:textbox>
            <w10:anchorlock/>
          </v:shape>
        </w:pict>
      </w:r>
      <w:r w:rsidR="002A7F1E">
        <w:rPr>
          <w:rStyle w:val="default"/>
          <w:rFonts w:cs="FrankRuehl" w:hint="cs"/>
          <w:rtl/>
        </w:rPr>
        <w:tab/>
      </w:r>
      <w:r w:rsidR="002A7F1E">
        <w:rPr>
          <w:rStyle w:val="default"/>
          <w:rFonts w:cs="FrankRuehl"/>
          <w:rtl/>
        </w:rPr>
        <w:t>(</w:t>
      </w:r>
      <w:r w:rsidR="00936551">
        <w:rPr>
          <w:rStyle w:val="default"/>
          <w:rFonts w:cs="FrankRuehl" w:hint="cs"/>
          <w:rtl/>
        </w:rPr>
        <w:t>ד</w:t>
      </w:r>
      <w:r w:rsidR="002A7F1E">
        <w:rPr>
          <w:rStyle w:val="default"/>
          <w:rFonts w:cs="FrankRuehl"/>
          <w:rtl/>
        </w:rPr>
        <w:t>)</w:t>
      </w:r>
      <w:r w:rsidR="002A7F1E">
        <w:rPr>
          <w:rStyle w:val="default"/>
          <w:rFonts w:cs="FrankRuehl" w:hint="cs"/>
          <w:rtl/>
        </w:rPr>
        <w:tab/>
      </w:r>
      <w:r w:rsidR="002A7F1E">
        <w:rPr>
          <w:rStyle w:val="default"/>
          <w:rFonts w:cs="FrankRuehl"/>
          <w:rtl/>
        </w:rPr>
        <w:t xml:space="preserve">על אף האמור </w:t>
      </w:r>
      <w:r w:rsidR="00936551">
        <w:rPr>
          <w:rStyle w:val="default"/>
          <w:rFonts w:cs="FrankRuehl" w:hint="cs"/>
          <w:rtl/>
        </w:rPr>
        <w:t>בתקנת משנה (ג), בתקופה שעד יום כ"ט בטבת התשע"ד (1 בינואר 2014) יכול שבמקום חותם ומערכת בקרה, כהגדרתם בחלקים 1 ו-2 לתוספת, ייחתם כל תא מכלית בחותם מכני, כהגדרתו בתקנת משנה (ג), ויחולו הוראות הצו בשינויים המחויבים</w:t>
      </w:r>
      <w:r w:rsidR="002A7F1E">
        <w:rPr>
          <w:rStyle w:val="default"/>
          <w:rFonts w:cs="FrankRuehl"/>
          <w:rtl/>
        </w:rPr>
        <w:t>.</w:t>
      </w:r>
    </w:p>
    <w:p w14:paraId="5D6AC661" w14:textId="77777777" w:rsidR="00355E27" w:rsidRPr="00936551" w:rsidRDefault="00355E27" w:rsidP="00355E27">
      <w:pPr>
        <w:pStyle w:val="P00"/>
        <w:spacing w:before="0"/>
        <w:ind w:left="0" w:right="1134"/>
        <w:rPr>
          <w:rStyle w:val="default"/>
          <w:rFonts w:cs="FrankRuehl" w:hint="cs"/>
          <w:vanish/>
          <w:color w:val="FF0000"/>
          <w:sz w:val="20"/>
          <w:szCs w:val="20"/>
          <w:shd w:val="clear" w:color="auto" w:fill="FFFF99"/>
          <w:rtl/>
        </w:rPr>
      </w:pPr>
      <w:bookmarkStart w:id="8" w:name="Rov9"/>
      <w:r w:rsidRPr="00936551">
        <w:rPr>
          <w:rStyle w:val="default"/>
          <w:rFonts w:cs="FrankRuehl" w:hint="cs"/>
          <w:vanish/>
          <w:color w:val="FF0000"/>
          <w:sz w:val="20"/>
          <w:szCs w:val="20"/>
          <w:shd w:val="clear" w:color="auto" w:fill="FFFF99"/>
          <w:rtl/>
        </w:rPr>
        <w:t>מיום 25.1.2011</w:t>
      </w:r>
    </w:p>
    <w:p w14:paraId="64494C94" w14:textId="77777777" w:rsidR="00355E27" w:rsidRPr="00936551" w:rsidRDefault="00355E27" w:rsidP="00355E27">
      <w:pPr>
        <w:pStyle w:val="P00"/>
        <w:spacing w:before="0"/>
        <w:ind w:left="0" w:right="1134"/>
        <w:rPr>
          <w:rStyle w:val="default"/>
          <w:rFonts w:cs="FrankRuehl" w:hint="cs"/>
          <w:vanish/>
          <w:sz w:val="20"/>
          <w:szCs w:val="20"/>
          <w:shd w:val="clear" w:color="auto" w:fill="FFFF99"/>
          <w:rtl/>
        </w:rPr>
      </w:pPr>
      <w:r w:rsidRPr="00936551">
        <w:rPr>
          <w:rStyle w:val="default"/>
          <w:rFonts w:cs="FrankRuehl" w:hint="cs"/>
          <w:b/>
          <w:bCs/>
          <w:vanish/>
          <w:sz w:val="20"/>
          <w:szCs w:val="20"/>
          <w:shd w:val="clear" w:color="auto" w:fill="FFFF99"/>
          <w:rtl/>
        </w:rPr>
        <w:t>צו תשע"א-2011</w:t>
      </w:r>
    </w:p>
    <w:p w14:paraId="6B0BC5B2" w14:textId="77777777" w:rsidR="00355E27" w:rsidRPr="00936551" w:rsidRDefault="00355E27" w:rsidP="00355E27">
      <w:pPr>
        <w:pStyle w:val="P00"/>
        <w:spacing w:before="0"/>
        <w:ind w:left="0" w:right="1134"/>
        <w:rPr>
          <w:rStyle w:val="default"/>
          <w:rFonts w:cs="FrankRuehl" w:hint="cs"/>
          <w:vanish/>
          <w:sz w:val="20"/>
          <w:szCs w:val="20"/>
          <w:shd w:val="clear" w:color="auto" w:fill="FFFF99"/>
          <w:rtl/>
        </w:rPr>
      </w:pPr>
      <w:hyperlink r:id="rId7" w:history="1">
        <w:r w:rsidRPr="00936551">
          <w:rPr>
            <w:rStyle w:val="Hyperlink"/>
            <w:rFonts w:cs="FrankRuehl" w:hint="cs"/>
            <w:vanish/>
            <w:szCs w:val="20"/>
            <w:shd w:val="clear" w:color="auto" w:fill="FFFF99"/>
            <w:rtl/>
          </w:rPr>
          <w:t>ק"ת תשע"א מס' 6968</w:t>
        </w:r>
      </w:hyperlink>
      <w:r w:rsidRPr="00936551">
        <w:rPr>
          <w:rStyle w:val="default"/>
          <w:rFonts w:cs="FrankRuehl" w:hint="cs"/>
          <w:vanish/>
          <w:sz w:val="20"/>
          <w:szCs w:val="20"/>
          <w:shd w:val="clear" w:color="auto" w:fill="FFFF99"/>
          <w:rtl/>
        </w:rPr>
        <w:t xml:space="preserve"> מיום 25.1.2011 עמ' 578</w:t>
      </w:r>
    </w:p>
    <w:p w14:paraId="3DAC2823" w14:textId="77777777" w:rsidR="00560A60" w:rsidRPr="00936551" w:rsidRDefault="00560A60" w:rsidP="00560A60">
      <w:pPr>
        <w:pStyle w:val="P00"/>
        <w:ind w:left="0" w:right="1134"/>
        <w:rPr>
          <w:rStyle w:val="default"/>
          <w:rFonts w:cs="FrankRuehl" w:hint="cs"/>
          <w:vanish/>
          <w:sz w:val="22"/>
          <w:szCs w:val="22"/>
          <w:shd w:val="clear" w:color="auto" w:fill="FFFF99"/>
          <w:rtl/>
        </w:rPr>
      </w:pPr>
      <w:r w:rsidRPr="00936551">
        <w:rPr>
          <w:rStyle w:val="default"/>
          <w:rFonts w:cs="FrankRuehl" w:hint="cs"/>
          <w:vanish/>
          <w:sz w:val="22"/>
          <w:szCs w:val="22"/>
          <w:shd w:val="clear" w:color="auto" w:fill="FFFF99"/>
          <w:rtl/>
        </w:rPr>
        <w:tab/>
      </w:r>
      <w:r w:rsidRPr="00936551">
        <w:rPr>
          <w:rStyle w:val="default"/>
          <w:rFonts w:cs="FrankRuehl"/>
          <w:vanish/>
          <w:sz w:val="22"/>
          <w:szCs w:val="22"/>
          <w:shd w:val="clear" w:color="auto" w:fill="FFFF99"/>
          <w:rtl/>
        </w:rPr>
        <w:t>(ג)</w:t>
      </w:r>
      <w:r w:rsidRPr="00936551">
        <w:rPr>
          <w:rStyle w:val="default"/>
          <w:rFonts w:cs="FrankRuehl" w:hint="cs"/>
          <w:vanish/>
          <w:sz w:val="22"/>
          <w:szCs w:val="22"/>
          <w:shd w:val="clear" w:color="auto" w:fill="FFFF99"/>
          <w:rtl/>
        </w:rPr>
        <w:tab/>
      </w:r>
      <w:r w:rsidRPr="00936551">
        <w:rPr>
          <w:rStyle w:val="default"/>
          <w:rFonts w:cs="FrankRuehl"/>
          <w:vanish/>
          <w:sz w:val="22"/>
          <w:szCs w:val="22"/>
          <w:shd w:val="clear" w:color="auto" w:fill="FFFF99"/>
          <w:rtl/>
        </w:rPr>
        <w:t xml:space="preserve">על אף האמור בסעיף קטן (א), בתקופה שעד תום </w:t>
      </w:r>
      <w:r w:rsidRPr="00936551">
        <w:rPr>
          <w:rStyle w:val="default"/>
          <w:rFonts w:cs="FrankRuehl"/>
          <w:strike/>
          <w:vanish/>
          <w:sz w:val="22"/>
          <w:szCs w:val="22"/>
          <w:shd w:val="clear" w:color="auto" w:fill="FFFF99"/>
          <w:rtl/>
        </w:rPr>
        <w:t>שישה חודשים מיום שהודיע המנהל</w:t>
      </w:r>
      <w:r w:rsidRPr="00936551">
        <w:rPr>
          <w:rStyle w:val="default"/>
          <w:rFonts w:cs="FrankRuehl" w:hint="cs"/>
          <w:vanish/>
          <w:sz w:val="22"/>
          <w:szCs w:val="22"/>
          <w:shd w:val="clear" w:color="auto" w:fill="FFFF99"/>
          <w:rtl/>
        </w:rPr>
        <w:t xml:space="preserve"> </w:t>
      </w:r>
      <w:r w:rsidRPr="00936551">
        <w:rPr>
          <w:rStyle w:val="default"/>
          <w:rFonts w:cs="FrankRuehl" w:hint="cs"/>
          <w:vanish/>
          <w:sz w:val="22"/>
          <w:szCs w:val="22"/>
          <w:u w:val="single"/>
          <w:shd w:val="clear" w:color="auto" w:fill="FFFF99"/>
          <w:rtl/>
        </w:rPr>
        <w:t>שנה וחצי מיום שהודיע המנהל</w:t>
      </w:r>
      <w:r w:rsidRPr="00936551">
        <w:rPr>
          <w:rStyle w:val="default"/>
          <w:rFonts w:cs="FrankRuehl"/>
          <w:vanish/>
          <w:sz w:val="22"/>
          <w:szCs w:val="22"/>
          <w:shd w:val="clear" w:color="auto" w:fill="FFFF99"/>
          <w:rtl/>
        </w:rPr>
        <w:t xml:space="preserve"> כי אישר את קיומו של חותם העומד בדרישות התוספת, יכול שבמקום חותם ומערכת בקרה, כהגדרתם בחלקים 1 ו</w:t>
      </w:r>
      <w:r w:rsidRPr="00936551">
        <w:rPr>
          <w:rStyle w:val="default"/>
          <w:rFonts w:cs="FrankRuehl" w:hint="cs"/>
          <w:vanish/>
          <w:sz w:val="22"/>
          <w:szCs w:val="22"/>
          <w:shd w:val="clear" w:color="auto" w:fill="FFFF99"/>
          <w:rtl/>
        </w:rPr>
        <w:t>-</w:t>
      </w:r>
      <w:r w:rsidRPr="00936551">
        <w:rPr>
          <w:rStyle w:val="default"/>
          <w:rFonts w:cs="FrankRuehl"/>
          <w:vanish/>
          <w:sz w:val="22"/>
          <w:szCs w:val="22"/>
          <w:shd w:val="clear" w:color="auto" w:fill="FFFF99"/>
          <w:rtl/>
        </w:rPr>
        <w:t xml:space="preserve">2 לתוספת, ייחתם כל תא מכלית בחותם מכני, ויחולו הוראות הצו בשינויים המחויבים; הודעת המנהל תפורסם ברשומות </w:t>
      </w:r>
      <w:r w:rsidRPr="00936551">
        <w:rPr>
          <w:rStyle w:val="default"/>
          <w:rFonts w:cs="FrankRuehl"/>
          <w:strike/>
          <w:vanish/>
          <w:sz w:val="22"/>
          <w:szCs w:val="22"/>
          <w:shd w:val="clear" w:color="auto" w:fill="FFFF99"/>
          <w:rtl/>
        </w:rPr>
        <w:t>בתוך שישה חודשים</w:t>
      </w:r>
      <w:r w:rsidRPr="00936551">
        <w:rPr>
          <w:rStyle w:val="default"/>
          <w:rFonts w:cs="FrankRuehl" w:hint="cs"/>
          <w:strike/>
          <w:vanish/>
          <w:sz w:val="22"/>
          <w:szCs w:val="22"/>
          <w:shd w:val="clear" w:color="auto" w:fill="FFFF99"/>
          <w:rtl/>
        </w:rPr>
        <w:t xml:space="preserve"> </w:t>
      </w:r>
      <w:r w:rsidRPr="00936551">
        <w:rPr>
          <w:rStyle w:val="default"/>
          <w:rFonts w:cs="FrankRuehl"/>
          <w:strike/>
          <w:vanish/>
          <w:sz w:val="22"/>
          <w:szCs w:val="22"/>
          <w:shd w:val="clear" w:color="auto" w:fill="FFFF99"/>
          <w:rtl/>
        </w:rPr>
        <w:t>מיום פרסומו של צו זה</w:t>
      </w:r>
      <w:r w:rsidRPr="00936551">
        <w:rPr>
          <w:rStyle w:val="default"/>
          <w:rFonts w:cs="FrankRuehl" w:hint="cs"/>
          <w:vanish/>
          <w:sz w:val="22"/>
          <w:szCs w:val="22"/>
          <w:shd w:val="clear" w:color="auto" w:fill="FFFF99"/>
          <w:rtl/>
        </w:rPr>
        <w:t xml:space="preserve"> </w:t>
      </w:r>
      <w:r w:rsidRPr="00936551">
        <w:rPr>
          <w:rStyle w:val="default"/>
          <w:rFonts w:cs="FrankRuehl" w:hint="cs"/>
          <w:vanish/>
          <w:sz w:val="22"/>
          <w:szCs w:val="22"/>
          <w:u w:val="single"/>
          <w:shd w:val="clear" w:color="auto" w:fill="FFFF99"/>
          <w:rtl/>
        </w:rPr>
        <w:t>עד יום כ"ה בטבת התשע"א (1 בינואר 2011)</w:t>
      </w:r>
      <w:r w:rsidRPr="00936551">
        <w:rPr>
          <w:rStyle w:val="default"/>
          <w:rFonts w:cs="FrankRuehl"/>
          <w:vanish/>
          <w:sz w:val="22"/>
          <w:szCs w:val="22"/>
          <w:shd w:val="clear" w:color="auto" w:fill="FFFF99"/>
          <w:rtl/>
        </w:rPr>
        <w:t>; לעניין זה, "חותם מכני" – אבזר נעילה הנושא מספר מזהה ואינו ניתן לפתיחה אלא בפגימתו.</w:t>
      </w:r>
    </w:p>
    <w:p w14:paraId="108CA4E7" w14:textId="77777777" w:rsidR="00560A60" w:rsidRPr="00936551" w:rsidRDefault="00560A60" w:rsidP="00355E27">
      <w:pPr>
        <w:pStyle w:val="P00"/>
        <w:spacing w:before="0"/>
        <w:ind w:left="0" w:right="1134"/>
        <w:rPr>
          <w:rStyle w:val="default"/>
          <w:rFonts w:cs="FrankRuehl" w:hint="cs"/>
          <w:vanish/>
          <w:sz w:val="20"/>
          <w:szCs w:val="20"/>
          <w:shd w:val="clear" w:color="auto" w:fill="FFFF99"/>
          <w:rtl/>
        </w:rPr>
      </w:pPr>
    </w:p>
    <w:p w14:paraId="7E9EF1C1" w14:textId="77777777" w:rsidR="00560A60" w:rsidRPr="00936551" w:rsidRDefault="00560A60" w:rsidP="00355E27">
      <w:pPr>
        <w:pStyle w:val="P00"/>
        <w:spacing w:before="0"/>
        <w:ind w:left="0" w:right="1134"/>
        <w:rPr>
          <w:rStyle w:val="default"/>
          <w:rFonts w:cs="FrankRuehl" w:hint="cs"/>
          <w:vanish/>
          <w:color w:val="FF0000"/>
          <w:sz w:val="20"/>
          <w:szCs w:val="20"/>
          <w:shd w:val="clear" w:color="auto" w:fill="FFFF99"/>
          <w:rtl/>
        </w:rPr>
      </w:pPr>
      <w:r w:rsidRPr="00936551">
        <w:rPr>
          <w:rStyle w:val="default"/>
          <w:rFonts w:cs="FrankRuehl" w:hint="cs"/>
          <w:vanish/>
          <w:color w:val="FF0000"/>
          <w:sz w:val="20"/>
          <w:szCs w:val="20"/>
          <w:shd w:val="clear" w:color="auto" w:fill="FFFF99"/>
          <w:rtl/>
        </w:rPr>
        <w:t>מיום 2.7.2012</w:t>
      </w:r>
    </w:p>
    <w:p w14:paraId="32AD7007" w14:textId="77777777" w:rsidR="00560A60" w:rsidRPr="00936551" w:rsidRDefault="00560A60" w:rsidP="00355E27">
      <w:pPr>
        <w:pStyle w:val="P00"/>
        <w:spacing w:before="0"/>
        <w:ind w:left="0" w:right="1134"/>
        <w:rPr>
          <w:rStyle w:val="default"/>
          <w:rFonts w:cs="FrankRuehl" w:hint="cs"/>
          <w:vanish/>
          <w:sz w:val="20"/>
          <w:szCs w:val="20"/>
          <w:shd w:val="clear" w:color="auto" w:fill="FFFF99"/>
          <w:rtl/>
        </w:rPr>
      </w:pPr>
      <w:r w:rsidRPr="00936551">
        <w:rPr>
          <w:rStyle w:val="default"/>
          <w:rFonts w:cs="FrankRuehl" w:hint="cs"/>
          <w:b/>
          <w:bCs/>
          <w:vanish/>
          <w:sz w:val="20"/>
          <w:szCs w:val="20"/>
          <w:shd w:val="clear" w:color="auto" w:fill="FFFF99"/>
          <w:rtl/>
        </w:rPr>
        <w:t>צו תשע"ב-2012</w:t>
      </w:r>
    </w:p>
    <w:p w14:paraId="42AF7A36" w14:textId="77777777" w:rsidR="00560A60" w:rsidRPr="00936551" w:rsidRDefault="00560A60" w:rsidP="00355E27">
      <w:pPr>
        <w:pStyle w:val="P00"/>
        <w:spacing w:before="0"/>
        <w:ind w:left="0" w:right="1134"/>
        <w:rPr>
          <w:rStyle w:val="default"/>
          <w:rFonts w:cs="FrankRuehl" w:hint="cs"/>
          <w:vanish/>
          <w:sz w:val="20"/>
          <w:szCs w:val="20"/>
          <w:shd w:val="clear" w:color="auto" w:fill="FFFF99"/>
          <w:rtl/>
        </w:rPr>
      </w:pPr>
      <w:hyperlink r:id="rId8" w:history="1">
        <w:r w:rsidRPr="00936551">
          <w:rPr>
            <w:rStyle w:val="Hyperlink"/>
            <w:rFonts w:cs="FrankRuehl" w:hint="cs"/>
            <w:vanish/>
            <w:szCs w:val="20"/>
            <w:shd w:val="clear" w:color="auto" w:fill="FFFF99"/>
            <w:rtl/>
          </w:rPr>
          <w:t>ק"ת תשע"ב מס' 7137</w:t>
        </w:r>
      </w:hyperlink>
      <w:r w:rsidRPr="00936551">
        <w:rPr>
          <w:rStyle w:val="default"/>
          <w:rFonts w:cs="FrankRuehl" w:hint="cs"/>
          <w:vanish/>
          <w:sz w:val="20"/>
          <w:szCs w:val="20"/>
          <w:shd w:val="clear" w:color="auto" w:fill="FFFF99"/>
          <w:rtl/>
        </w:rPr>
        <w:t xml:space="preserve"> מיום 2.7.2012 עמ' 1369</w:t>
      </w:r>
      <w:r w:rsidR="00A068CA" w:rsidRPr="00936551">
        <w:rPr>
          <w:rStyle w:val="default"/>
          <w:rFonts w:cs="FrankRuehl" w:hint="cs"/>
          <w:vanish/>
          <w:sz w:val="20"/>
          <w:szCs w:val="20"/>
          <w:shd w:val="clear" w:color="auto" w:fill="FFFF99"/>
          <w:rtl/>
        </w:rPr>
        <w:t>א</w:t>
      </w:r>
    </w:p>
    <w:p w14:paraId="60F02FE6" w14:textId="77777777" w:rsidR="00355E27" w:rsidRPr="00936551" w:rsidRDefault="00355E27" w:rsidP="00560A60">
      <w:pPr>
        <w:pStyle w:val="P00"/>
        <w:ind w:left="0" w:right="1134"/>
        <w:rPr>
          <w:rStyle w:val="default"/>
          <w:rFonts w:cs="FrankRuehl" w:hint="cs"/>
          <w:vanish/>
          <w:sz w:val="22"/>
          <w:szCs w:val="22"/>
          <w:shd w:val="clear" w:color="auto" w:fill="FFFF99"/>
          <w:rtl/>
        </w:rPr>
      </w:pPr>
      <w:r w:rsidRPr="00936551">
        <w:rPr>
          <w:rStyle w:val="default"/>
          <w:rFonts w:cs="FrankRuehl" w:hint="cs"/>
          <w:vanish/>
          <w:sz w:val="22"/>
          <w:szCs w:val="22"/>
          <w:shd w:val="clear" w:color="auto" w:fill="FFFF99"/>
          <w:rtl/>
        </w:rPr>
        <w:tab/>
      </w:r>
      <w:r w:rsidRPr="00936551">
        <w:rPr>
          <w:rStyle w:val="default"/>
          <w:rFonts w:cs="FrankRuehl"/>
          <w:vanish/>
          <w:sz w:val="22"/>
          <w:szCs w:val="22"/>
          <w:shd w:val="clear" w:color="auto" w:fill="FFFF99"/>
          <w:rtl/>
        </w:rPr>
        <w:t>(ג)</w:t>
      </w:r>
      <w:r w:rsidRPr="00936551">
        <w:rPr>
          <w:rStyle w:val="default"/>
          <w:rFonts w:cs="FrankRuehl" w:hint="cs"/>
          <w:vanish/>
          <w:sz w:val="22"/>
          <w:szCs w:val="22"/>
          <w:shd w:val="clear" w:color="auto" w:fill="FFFF99"/>
          <w:rtl/>
        </w:rPr>
        <w:tab/>
      </w:r>
      <w:r w:rsidRPr="00936551">
        <w:rPr>
          <w:rStyle w:val="default"/>
          <w:rFonts w:cs="FrankRuehl"/>
          <w:vanish/>
          <w:sz w:val="22"/>
          <w:szCs w:val="22"/>
          <w:shd w:val="clear" w:color="auto" w:fill="FFFF99"/>
          <w:rtl/>
        </w:rPr>
        <w:t xml:space="preserve">על אף האמור בסעיף קטן (א), בתקופה שעד תום </w:t>
      </w:r>
      <w:r w:rsidRPr="00936551">
        <w:rPr>
          <w:rStyle w:val="default"/>
          <w:rFonts w:cs="FrankRuehl" w:hint="cs"/>
          <w:strike/>
          <w:vanish/>
          <w:sz w:val="22"/>
          <w:szCs w:val="22"/>
          <w:shd w:val="clear" w:color="auto" w:fill="FFFF99"/>
          <w:rtl/>
        </w:rPr>
        <w:t>שנה וחצי מיום שהודיע המנהל</w:t>
      </w:r>
      <w:r w:rsidR="00560A60" w:rsidRPr="00936551">
        <w:rPr>
          <w:rStyle w:val="default"/>
          <w:rFonts w:cs="FrankRuehl" w:hint="cs"/>
          <w:vanish/>
          <w:sz w:val="22"/>
          <w:szCs w:val="22"/>
          <w:shd w:val="clear" w:color="auto" w:fill="FFFF99"/>
          <w:rtl/>
        </w:rPr>
        <w:t xml:space="preserve"> </w:t>
      </w:r>
      <w:r w:rsidR="00560A60" w:rsidRPr="00936551">
        <w:rPr>
          <w:rStyle w:val="default"/>
          <w:rFonts w:cs="FrankRuehl" w:hint="cs"/>
          <w:vanish/>
          <w:sz w:val="22"/>
          <w:szCs w:val="22"/>
          <w:u w:val="single"/>
          <w:shd w:val="clear" w:color="auto" w:fill="FFFF99"/>
          <w:rtl/>
        </w:rPr>
        <w:t>שנתיים מיום שהודיע המנהל</w:t>
      </w:r>
      <w:r w:rsidRPr="00936551">
        <w:rPr>
          <w:rStyle w:val="default"/>
          <w:rFonts w:cs="FrankRuehl"/>
          <w:vanish/>
          <w:sz w:val="22"/>
          <w:szCs w:val="22"/>
          <w:shd w:val="clear" w:color="auto" w:fill="FFFF99"/>
          <w:rtl/>
        </w:rPr>
        <w:t xml:space="preserve"> כי אישר את קיומו של חותם העומד בדרישות התוספת, יכול שבמקום חותם ומערכת בקרה, כהגדרתם בחלקים 1 ו</w:t>
      </w:r>
      <w:r w:rsidRPr="00936551">
        <w:rPr>
          <w:rStyle w:val="default"/>
          <w:rFonts w:cs="FrankRuehl" w:hint="cs"/>
          <w:vanish/>
          <w:sz w:val="22"/>
          <w:szCs w:val="22"/>
          <w:shd w:val="clear" w:color="auto" w:fill="FFFF99"/>
          <w:rtl/>
        </w:rPr>
        <w:t>-</w:t>
      </w:r>
      <w:r w:rsidRPr="00936551">
        <w:rPr>
          <w:rStyle w:val="default"/>
          <w:rFonts w:cs="FrankRuehl"/>
          <w:vanish/>
          <w:sz w:val="22"/>
          <w:szCs w:val="22"/>
          <w:shd w:val="clear" w:color="auto" w:fill="FFFF99"/>
          <w:rtl/>
        </w:rPr>
        <w:t xml:space="preserve">2 לתוספת, ייחתם כל תא מכלית בחותם מכני, ויחולו הוראות הצו בשינויים המחויבים; הודעת המנהל תפורסם ברשומות </w:t>
      </w:r>
      <w:r w:rsidRPr="00936551">
        <w:rPr>
          <w:rStyle w:val="default"/>
          <w:rFonts w:cs="FrankRuehl" w:hint="cs"/>
          <w:vanish/>
          <w:sz w:val="22"/>
          <w:szCs w:val="22"/>
          <w:shd w:val="clear" w:color="auto" w:fill="FFFF99"/>
          <w:rtl/>
        </w:rPr>
        <w:t>עד יום כ"ה בטבת התשע"א (1 בינואר 2011)</w:t>
      </w:r>
      <w:r w:rsidRPr="00936551">
        <w:rPr>
          <w:rStyle w:val="default"/>
          <w:rFonts w:cs="FrankRuehl"/>
          <w:vanish/>
          <w:sz w:val="22"/>
          <w:szCs w:val="22"/>
          <w:shd w:val="clear" w:color="auto" w:fill="FFFF99"/>
          <w:rtl/>
        </w:rPr>
        <w:t>; לעניין זה, "חותם מכני" – אבזר נעילה הנושא מספר מזהה ואינו ניתן לפתיחה אלא בפגימתו.</w:t>
      </w:r>
    </w:p>
    <w:p w14:paraId="796A72ED" w14:textId="77777777" w:rsidR="00936551" w:rsidRPr="00936551" w:rsidRDefault="00936551" w:rsidP="00936551">
      <w:pPr>
        <w:pStyle w:val="P00"/>
        <w:spacing w:before="0"/>
        <w:ind w:left="0" w:right="1134"/>
        <w:rPr>
          <w:rStyle w:val="default"/>
          <w:rFonts w:cs="FrankRuehl" w:hint="cs"/>
          <w:vanish/>
          <w:sz w:val="20"/>
          <w:szCs w:val="20"/>
          <w:shd w:val="clear" w:color="auto" w:fill="FFFF99"/>
          <w:rtl/>
        </w:rPr>
      </w:pPr>
    </w:p>
    <w:p w14:paraId="03C7EF47" w14:textId="77777777" w:rsidR="00936551" w:rsidRPr="00936551" w:rsidRDefault="00936551" w:rsidP="00936551">
      <w:pPr>
        <w:pStyle w:val="P00"/>
        <w:spacing w:before="0"/>
        <w:ind w:left="0" w:right="1134"/>
        <w:rPr>
          <w:rStyle w:val="default"/>
          <w:rFonts w:cs="FrankRuehl" w:hint="cs"/>
          <w:vanish/>
          <w:color w:val="FF0000"/>
          <w:sz w:val="20"/>
          <w:szCs w:val="20"/>
          <w:shd w:val="clear" w:color="auto" w:fill="FFFF99"/>
          <w:rtl/>
        </w:rPr>
      </w:pPr>
      <w:r w:rsidRPr="00936551">
        <w:rPr>
          <w:rStyle w:val="default"/>
          <w:rFonts w:cs="FrankRuehl" w:hint="cs"/>
          <w:vanish/>
          <w:color w:val="FF0000"/>
          <w:sz w:val="20"/>
          <w:szCs w:val="20"/>
          <w:shd w:val="clear" w:color="auto" w:fill="FFFF99"/>
          <w:rtl/>
        </w:rPr>
        <w:t>מיום 1.1.2013</w:t>
      </w:r>
    </w:p>
    <w:p w14:paraId="28332FF7" w14:textId="77777777" w:rsidR="00936551" w:rsidRPr="00936551" w:rsidRDefault="00936551" w:rsidP="00936551">
      <w:pPr>
        <w:pStyle w:val="P00"/>
        <w:spacing w:before="0"/>
        <w:ind w:left="0" w:right="1134"/>
        <w:rPr>
          <w:rStyle w:val="default"/>
          <w:rFonts w:cs="FrankRuehl" w:hint="cs"/>
          <w:vanish/>
          <w:sz w:val="20"/>
          <w:szCs w:val="20"/>
          <w:shd w:val="clear" w:color="auto" w:fill="FFFF99"/>
          <w:rtl/>
        </w:rPr>
      </w:pPr>
      <w:r w:rsidRPr="00936551">
        <w:rPr>
          <w:rStyle w:val="default"/>
          <w:rFonts w:cs="FrankRuehl" w:hint="cs"/>
          <w:b/>
          <w:bCs/>
          <w:vanish/>
          <w:sz w:val="20"/>
          <w:szCs w:val="20"/>
          <w:shd w:val="clear" w:color="auto" w:fill="FFFF99"/>
          <w:rtl/>
        </w:rPr>
        <w:t>צו תשע"ג-2013</w:t>
      </w:r>
    </w:p>
    <w:p w14:paraId="4EC3E0E9" w14:textId="77777777" w:rsidR="00936551" w:rsidRPr="00936551" w:rsidRDefault="00936551" w:rsidP="00936551">
      <w:pPr>
        <w:pStyle w:val="P00"/>
        <w:spacing w:before="0"/>
        <w:ind w:left="0" w:right="1134"/>
        <w:rPr>
          <w:rStyle w:val="default"/>
          <w:rFonts w:cs="FrankRuehl" w:hint="cs"/>
          <w:vanish/>
          <w:sz w:val="20"/>
          <w:szCs w:val="20"/>
          <w:shd w:val="clear" w:color="auto" w:fill="FFFF99"/>
          <w:rtl/>
        </w:rPr>
      </w:pPr>
      <w:hyperlink r:id="rId9" w:history="1">
        <w:r w:rsidRPr="00936551">
          <w:rPr>
            <w:rStyle w:val="Hyperlink"/>
            <w:rFonts w:cs="FrankRuehl" w:hint="cs"/>
            <w:vanish/>
            <w:szCs w:val="20"/>
            <w:shd w:val="clear" w:color="auto" w:fill="FFFF99"/>
            <w:rtl/>
          </w:rPr>
          <w:t>ק"ת תשע"ג מס' 7213</w:t>
        </w:r>
      </w:hyperlink>
      <w:r w:rsidRPr="00936551">
        <w:rPr>
          <w:rStyle w:val="default"/>
          <w:rFonts w:cs="FrankRuehl" w:hint="cs"/>
          <w:vanish/>
          <w:sz w:val="20"/>
          <w:szCs w:val="20"/>
          <w:shd w:val="clear" w:color="auto" w:fill="FFFF99"/>
          <w:rtl/>
        </w:rPr>
        <w:t xml:space="preserve"> מיום 20.1.2013 עמ' 640</w:t>
      </w:r>
    </w:p>
    <w:p w14:paraId="4B981DBD" w14:textId="77777777" w:rsidR="00936551" w:rsidRPr="00936551" w:rsidRDefault="00936551" w:rsidP="00936551">
      <w:pPr>
        <w:pStyle w:val="P00"/>
        <w:spacing w:before="0"/>
        <w:ind w:left="0" w:right="1134"/>
        <w:rPr>
          <w:rStyle w:val="default"/>
          <w:rFonts w:cs="FrankRuehl" w:hint="cs"/>
          <w:sz w:val="2"/>
          <w:szCs w:val="2"/>
          <w:shd w:val="clear" w:color="auto" w:fill="FFFF99"/>
          <w:rtl/>
        </w:rPr>
      </w:pPr>
      <w:r w:rsidRPr="00936551">
        <w:rPr>
          <w:rStyle w:val="default"/>
          <w:rFonts w:cs="FrankRuehl" w:hint="cs"/>
          <w:b/>
          <w:bCs/>
          <w:vanish/>
          <w:sz w:val="20"/>
          <w:szCs w:val="20"/>
          <w:shd w:val="clear" w:color="auto" w:fill="FFFF99"/>
          <w:rtl/>
        </w:rPr>
        <w:t>הוספת סעיף קטן 8(ד)</w:t>
      </w:r>
      <w:bookmarkEnd w:id="8"/>
    </w:p>
    <w:p w14:paraId="25B9C65C" w14:textId="77777777" w:rsidR="00560A60" w:rsidRDefault="00560A60">
      <w:pPr>
        <w:pStyle w:val="P00"/>
        <w:spacing w:before="72"/>
        <w:ind w:left="0" w:right="1134"/>
        <w:rPr>
          <w:rStyle w:val="default"/>
          <w:rFonts w:cs="FrankRuehl" w:hint="cs"/>
          <w:rtl/>
        </w:rPr>
      </w:pPr>
    </w:p>
    <w:p w14:paraId="62FB8412" w14:textId="77777777" w:rsidR="002A7F1E" w:rsidRDefault="002A7F1E">
      <w:pPr>
        <w:pStyle w:val="P00"/>
        <w:spacing w:before="72"/>
        <w:ind w:left="0" w:right="1134"/>
        <w:jc w:val="center"/>
        <w:rPr>
          <w:rStyle w:val="default"/>
          <w:rFonts w:cs="FrankRuehl" w:hint="cs"/>
          <w:b/>
          <w:bCs/>
          <w:rtl/>
        </w:rPr>
      </w:pPr>
      <w:r>
        <w:rPr>
          <w:rStyle w:val="default"/>
          <w:rFonts w:cs="FrankRuehl"/>
          <w:b/>
          <w:bCs/>
          <w:rtl/>
        </w:rPr>
        <w:t>תוספת</w:t>
      </w:r>
    </w:p>
    <w:p w14:paraId="66069FC5" w14:textId="77777777" w:rsidR="002A7F1E" w:rsidRDefault="002A7F1E">
      <w:pPr>
        <w:pStyle w:val="P00"/>
        <w:spacing w:before="72"/>
        <w:ind w:left="0" w:right="1134"/>
        <w:jc w:val="center"/>
        <w:rPr>
          <w:rStyle w:val="default"/>
          <w:rFonts w:cs="FrankRuehl" w:hint="cs"/>
          <w:b/>
          <w:bCs/>
          <w:sz w:val="22"/>
          <w:szCs w:val="22"/>
          <w:rtl/>
        </w:rPr>
      </w:pPr>
      <w:r>
        <w:rPr>
          <w:rStyle w:val="default"/>
          <w:rFonts w:cs="FrankRuehl"/>
          <w:b/>
          <w:bCs/>
          <w:sz w:val="22"/>
          <w:szCs w:val="22"/>
          <w:rtl/>
        </w:rPr>
        <w:t>חלק 1 – חותם</w:t>
      </w:r>
    </w:p>
    <w:p w14:paraId="272C44B9" w14:textId="77777777" w:rsidR="002A7F1E" w:rsidRDefault="002A7F1E">
      <w:pPr>
        <w:pStyle w:val="P00"/>
        <w:spacing w:before="72"/>
        <w:ind w:left="0" w:right="1134"/>
        <w:jc w:val="center"/>
        <w:rPr>
          <w:rStyle w:val="default"/>
          <w:rFonts w:cs="FrankRuehl" w:hint="cs"/>
          <w:sz w:val="24"/>
          <w:szCs w:val="24"/>
          <w:rtl/>
        </w:rPr>
      </w:pPr>
      <w:r>
        <w:rPr>
          <w:rStyle w:val="default"/>
          <w:rFonts w:cs="FrankRuehl"/>
          <w:sz w:val="24"/>
          <w:szCs w:val="24"/>
          <w:rtl/>
        </w:rPr>
        <w:t>(סעיפים 3(א)(4), 4(א)(1), 5(א)(4) ו</w:t>
      </w:r>
      <w:r>
        <w:rPr>
          <w:rStyle w:val="default"/>
          <w:rFonts w:cs="FrankRuehl" w:hint="cs"/>
          <w:sz w:val="24"/>
          <w:szCs w:val="24"/>
          <w:rtl/>
        </w:rPr>
        <w:t>-</w:t>
      </w:r>
      <w:r>
        <w:rPr>
          <w:rStyle w:val="default"/>
          <w:rFonts w:cs="FrankRuehl"/>
          <w:sz w:val="24"/>
          <w:szCs w:val="24"/>
          <w:rtl/>
        </w:rPr>
        <w:t>6(ב)(2))</w:t>
      </w:r>
    </w:p>
    <w:p w14:paraId="68554638"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חותם הוא התקן אלקטרוני שמבצע אחת מאלה:</w:t>
      </w:r>
    </w:p>
    <w:p w14:paraId="2A73CA75"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נעילת כל פתח של תא במכלית, המשמש להכנסה של מוצר דלק לתא המכלית או להוצאתו ממנו, לרבות מכסה עליון וברז ריקון;</w:t>
      </w:r>
    </w:p>
    <w:p w14:paraId="372AA480"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מדידת כמות הדלק בתא המכלית המבוססת על מדידת לחץ.</w:t>
      </w:r>
    </w:p>
    <w:p w14:paraId="79F58C9A"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המכלית מצוידת בצג, שעל גביו מופיע:</w:t>
      </w:r>
    </w:p>
    <w:p w14:paraId="5C1FE26F"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בחותם לפי פרט א(1) – סימון צבעוני בולט וכתובית של כל פתיחה של תא המכלית;</w:t>
      </w:r>
    </w:p>
    <w:p w14:paraId="4E3EAB25"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בחותם לפי פרט א(2) – כל שינוי בכמות הדלק במכל;</w:t>
      </w:r>
    </w:p>
    <w:p w14:paraId="553876B8"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לנוהג במכלית, ולמי שמצוי בקרבתה, אין אפשרות טכנית לשנות את הסימונים בצג האמור.</w:t>
      </w:r>
    </w:p>
    <w:p w14:paraId="722F473C" w14:textId="77777777" w:rsidR="002A7F1E" w:rsidRDefault="002A7F1E">
      <w:pPr>
        <w:pStyle w:val="P00"/>
        <w:spacing w:before="72"/>
        <w:ind w:left="0" w:right="1134"/>
        <w:rPr>
          <w:rStyle w:val="default"/>
          <w:rFonts w:cs="FrankRuehl" w:hint="cs"/>
          <w:rtl/>
        </w:rPr>
      </w:pPr>
    </w:p>
    <w:p w14:paraId="1ACCB333" w14:textId="77777777" w:rsidR="002A7F1E" w:rsidRDefault="002A7F1E">
      <w:pPr>
        <w:pStyle w:val="P00"/>
        <w:spacing w:before="72"/>
        <w:ind w:left="0" w:right="1134"/>
        <w:jc w:val="center"/>
        <w:rPr>
          <w:rStyle w:val="default"/>
          <w:rFonts w:cs="FrankRuehl" w:hint="cs"/>
          <w:b/>
          <w:bCs/>
          <w:sz w:val="22"/>
          <w:szCs w:val="22"/>
          <w:rtl/>
        </w:rPr>
      </w:pPr>
      <w:r>
        <w:rPr>
          <w:rStyle w:val="default"/>
          <w:rFonts w:cs="FrankRuehl"/>
          <w:b/>
          <w:bCs/>
          <w:sz w:val="22"/>
          <w:szCs w:val="22"/>
          <w:rtl/>
        </w:rPr>
        <w:t>חלק 2 – בקרה ודיווח</w:t>
      </w:r>
      <w:r>
        <w:rPr>
          <w:rStyle w:val="default"/>
          <w:rFonts w:cs="FrankRuehl" w:hint="cs"/>
          <w:b/>
          <w:bCs/>
          <w:sz w:val="22"/>
          <w:szCs w:val="22"/>
          <w:rtl/>
        </w:rPr>
        <w:t>:</w:t>
      </w:r>
    </w:p>
    <w:p w14:paraId="3A035C4E" w14:textId="77777777" w:rsidR="002A7F1E" w:rsidRDefault="002A7F1E">
      <w:pPr>
        <w:pStyle w:val="P00"/>
        <w:spacing w:before="72"/>
        <w:ind w:left="0" w:right="1134"/>
        <w:jc w:val="center"/>
        <w:rPr>
          <w:rStyle w:val="default"/>
          <w:rFonts w:cs="FrankRuehl" w:hint="cs"/>
          <w:sz w:val="24"/>
          <w:szCs w:val="24"/>
          <w:rtl/>
        </w:rPr>
      </w:pPr>
      <w:r>
        <w:rPr>
          <w:rStyle w:val="default"/>
          <w:rFonts w:cs="FrankRuehl"/>
          <w:sz w:val="24"/>
          <w:szCs w:val="24"/>
          <w:rtl/>
        </w:rPr>
        <w:t>(סעיפים 3(א)(4), 5(א)(5), 6(ב)(2) ו</w:t>
      </w:r>
      <w:r>
        <w:rPr>
          <w:rStyle w:val="default"/>
          <w:rFonts w:cs="FrankRuehl" w:hint="cs"/>
          <w:sz w:val="24"/>
          <w:szCs w:val="24"/>
          <w:rtl/>
        </w:rPr>
        <w:t>-</w:t>
      </w:r>
      <w:r>
        <w:rPr>
          <w:rStyle w:val="default"/>
          <w:rFonts w:cs="FrankRuehl"/>
          <w:sz w:val="24"/>
          <w:szCs w:val="24"/>
          <w:rtl/>
        </w:rPr>
        <w:t>7)</w:t>
      </w:r>
    </w:p>
    <w:p w14:paraId="2DF8FFB1"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מערכת בקרת תנועה במכלית מדווחת למערכת בקרה של חברת הדלק, בכל זמן נתון, על מיקום המכלית.</w:t>
      </w:r>
    </w:p>
    <w:p w14:paraId="4475FD98"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החותם מחובר למערכת בקרה של חברת הדלק, ומערכת הבקרה מקבלת דיווח –</w:t>
      </w:r>
    </w:p>
    <w:p w14:paraId="7D8E9751"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בחותם לפי פרט א(1) בחלק 1 –</w:t>
      </w:r>
      <w:r>
        <w:rPr>
          <w:rStyle w:val="default"/>
          <w:rFonts w:cs="FrankRuehl" w:hint="cs"/>
          <w:rtl/>
        </w:rPr>
        <w:t xml:space="preserve"> </w:t>
      </w:r>
      <w:r>
        <w:rPr>
          <w:rStyle w:val="default"/>
          <w:rFonts w:cs="FrankRuehl"/>
          <w:rtl/>
        </w:rPr>
        <w:t>על כל פתיחה של תא המכלית ומועד הפתיחה;</w:t>
      </w:r>
    </w:p>
    <w:p w14:paraId="624FFC3B"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בחותם לפי פרט א(2) בחלק 1 – על שינוי בכמות הדלק, בכל אחד מתאי המכלית, לפי סוג מוצר הדלק ומועד השינוי.</w:t>
      </w:r>
    </w:p>
    <w:p w14:paraId="318C3C60"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בתוספת זו, "מערכת בקרה של חברת הדלק" – לרבות מערכת בקרה שאינה של חברת</w:t>
      </w:r>
      <w:r>
        <w:rPr>
          <w:rStyle w:val="default"/>
          <w:rFonts w:cs="FrankRuehl" w:hint="cs"/>
          <w:rtl/>
        </w:rPr>
        <w:t xml:space="preserve"> </w:t>
      </w:r>
      <w:r>
        <w:rPr>
          <w:rStyle w:val="default"/>
          <w:rFonts w:cs="FrankRuehl"/>
          <w:rtl/>
        </w:rPr>
        <w:t>הדלק, אך מספקת לחברת הדלק שירותים ומדווחת לה בזמן אמת על כל הובלת דלק לתחנת תדלוק, המבוצעת בעבורה.</w:t>
      </w:r>
    </w:p>
    <w:p w14:paraId="6BF4F9A7"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צג המכלית מותקן במקום נגיש ונראה לעין.</w:t>
      </w:r>
    </w:p>
    <w:p w14:paraId="301A6026" w14:textId="77777777" w:rsidR="002A7F1E" w:rsidRDefault="002A7F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מערכת הבקרה מאפשרת הנפקת תרשים של כל התנועות הנצפות בה ובחותמים.</w:t>
      </w:r>
    </w:p>
    <w:p w14:paraId="7EE75B9B" w14:textId="77777777" w:rsidR="002A7F1E" w:rsidRDefault="002A7F1E">
      <w:pPr>
        <w:pStyle w:val="P00"/>
        <w:spacing w:before="72"/>
        <w:ind w:left="0" w:right="1134"/>
        <w:rPr>
          <w:rStyle w:val="default"/>
          <w:rFonts w:cs="FrankRuehl" w:hint="cs"/>
          <w:rtl/>
        </w:rPr>
      </w:pPr>
    </w:p>
    <w:p w14:paraId="0CB2464B" w14:textId="77777777" w:rsidR="002A7F1E" w:rsidRDefault="002A7F1E">
      <w:pPr>
        <w:pStyle w:val="P00"/>
        <w:spacing w:before="72"/>
        <w:ind w:left="0" w:right="1134"/>
        <w:rPr>
          <w:rStyle w:val="default"/>
          <w:rFonts w:cs="FrankRuehl" w:hint="cs"/>
          <w:rtl/>
        </w:rPr>
      </w:pPr>
    </w:p>
    <w:p w14:paraId="2E3F5DD3" w14:textId="77777777" w:rsidR="002A7F1E" w:rsidRDefault="002A7F1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כ"ז בחשוון התשס"ח (9 באוקטובר 2007)</w:t>
      </w:r>
      <w:r>
        <w:rPr>
          <w:rStyle w:val="default"/>
          <w:rFonts w:cs="FrankRuehl" w:hint="cs"/>
          <w:rtl/>
        </w:rPr>
        <w:tab/>
        <w:t>בנימין (פואד) בן אליעזר</w:t>
      </w:r>
    </w:p>
    <w:p w14:paraId="4FFF326E" w14:textId="77777777" w:rsidR="002A7F1E" w:rsidRDefault="002A7F1E">
      <w:pPr>
        <w:pStyle w:val="sig-0"/>
        <w:tabs>
          <w:tab w:val="clear" w:pos="4820"/>
          <w:tab w:val="center" w:pos="5103"/>
        </w:tabs>
        <w:ind w:left="0" w:right="1134"/>
        <w:rPr>
          <w:rFonts w:cs="FrankRuehl" w:hint="cs"/>
          <w:sz w:val="22"/>
          <w:szCs w:val="22"/>
          <w:rtl/>
        </w:rPr>
      </w:pPr>
      <w:r>
        <w:rPr>
          <w:rFonts w:cs="FrankRuehl" w:hint="cs"/>
          <w:sz w:val="22"/>
          <w:szCs w:val="22"/>
          <w:rtl/>
        </w:rPr>
        <w:tab/>
        <w:t>שר התשתיות הלאומיות</w:t>
      </w:r>
    </w:p>
    <w:p w14:paraId="0C3E8A71" w14:textId="77777777" w:rsidR="002A7F1E" w:rsidRDefault="002A7F1E">
      <w:pPr>
        <w:pStyle w:val="sig-0"/>
        <w:tabs>
          <w:tab w:val="clear" w:pos="4820"/>
          <w:tab w:val="center" w:pos="5670"/>
        </w:tabs>
        <w:ind w:left="0" w:right="1134"/>
        <w:rPr>
          <w:rFonts w:cs="FrankRuehl" w:hint="cs"/>
          <w:sz w:val="26"/>
          <w:rtl/>
        </w:rPr>
      </w:pPr>
    </w:p>
    <w:p w14:paraId="5651DAC7" w14:textId="77777777" w:rsidR="002A7F1E" w:rsidRDefault="002A7F1E">
      <w:pPr>
        <w:pStyle w:val="sig-0"/>
        <w:tabs>
          <w:tab w:val="clear" w:pos="4820"/>
          <w:tab w:val="center" w:pos="5670"/>
        </w:tabs>
        <w:ind w:left="0" w:right="1134"/>
        <w:rPr>
          <w:rFonts w:cs="FrankRuehl" w:hint="cs"/>
          <w:sz w:val="26"/>
          <w:rtl/>
        </w:rPr>
      </w:pPr>
    </w:p>
    <w:p w14:paraId="1D42FA4F" w14:textId="77777777" w:rsidR="00191760" w:rsidRDefault="00191760">
      <w:pPr>
        <w:pStyle w:val="sig-0"/>
        <w:ind w:left="0" w:right="1134"/>
        <w:rPr>
          <w:rFonts w:cs="FrankRuehl"/>
          <w:sz w:val="26"/>
          <w:rtl/>
        </w:rPr>
      </w:pPr>
    </w:p>
    <w:p w14:paraId="2D895F66" w14:textId="77777777" w:rsidR="00191760" w:rsidRDefault="00191760">
      <w:pPr>
        <w:pStyle w:val="sig-0"/>
        <w:ind w:left="0" w:right="1134"/>
        <w:rPr>
          <w:rFonts w:cs="FrankRuehl"/>
          <w:sz w:val="26"/>
          <w:rtl/>
        </w:rPr>
      </w:pPr>
    </w:p>
    <w:p w14:paraId="0A1D9676" w14:textId="77777777" w:rsidR="00191760" w:rsidRDefault="00191760" w:rsidP="00191760">
      <w:pPr>
        <w:pStyle w:val="sig-0"/>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14:paraId="2C21EE82" w14:textId="77777777" w:rsidR="002A7F1E" w:rsidRPr="00191760" w:rsidRDefault="002A7F1E" w:rsidP="00191760">
      <w:pPr>
        <w:pStyle w:val="sig-0"/>
        <w:ind w:left="0" w:right="1134"/>
        <w:jc w:val="center"/>
        <w:rPr>
          <w:rFonts w:cs="David"/>
          <w:color w:val="0000FF"/>
          <w:sz w:val="26"/>
          <w:szCs w:val="24"/>
          <w:u w:val="single"/>
          <w:rtl/>
        </w:rPr>
      </w:pPr>
    </w:p>
    <w:sectPr w:rsidR="002A7F1E" w:rsidRPr="00191760">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3D99" w14:textId="77777777" w:rsidR="009F099B" w:rsidRDefault="009F099B">
      <w:r>
        <w:separator/>
      </w:r>
    </w:p>
  </w:endnote>
  <w:endnote w:type="continuationSeparator" w:id="0">
    <w:p w14:paraId="48C033F4" w14:textId="77777777" w:rsidR="009F099B" w:rsidRDefault="009F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01FB" w14:textId="77777777" w:rsidR="002A7F1E" w:rsidRDefault="002A7F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9DD29A" w14:textId="77777777" w:rsidR="002A7F1E" w:rsidRDefault="002A7F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A51E50" w14:textId="77777777" w:rsidR="002A7F1E" w:rsidRDefault="002A7F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1760">
      <w:rPr>
        <w:rFonts w:cs="TopType Jerushalmi"/>
        <w:noProof/>
        <w:color w:val="000000"/>
        <w:sz w:val="14"/>
        <w:szCs w:val="14"/>
      </w:rPr>
      <w:t>Z:\000-law\yael\2011\11-01-30\tav\999_854.doc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1BDD" w14:textId="77777777" w:rsidR="002A7F1E" w:rsidRDefault="002A7F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1DAB">
      <w:rPr>
        <w:rFonts w:hAnsi="FrankRuehl" w:cs="FrankRuehl"/>
        <w:noProof/>
        <w:sz w:val="24"/>
        <w:szCs w:val="24"/>
        <w:rtl/>
      </w:rPr>
      <w:t>3</w:t>
    </w:r>
    <w:r>
      <w:rPr>
        <w:rFonts w:hAnsi="FrankRuehl" w:cs="FrankRuehl"/>
        <w:sz w:val="24"/>
        <w:szCs w:val="24"/>
        <w:rtl/>
      </w:rPr>
      <w:fldChar w:fldCharType="end"/>
    </w:r>
  </w:p>
  <w:p w14:paraId="424CD596" w14:textId="77777777" w:rsidR="002A7F1E" w:rsidRDefault="002A7F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AAAF57" w14:textId="77777777" w:rsidR="002A7F1E" w:rsidRDefault="002A7F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1760">
      <w:rPr>
        <w:rFonts w:cs="TopType Jerushalmi"/>
        <w:noProof/>
        <w:color w:val="000000"/>
        <w:sz w:val="14"/>
        <w:szCs w:val="14"/>
      </w:rPr>
      <w:t>Z:\000-law\yael\2011\11-01-30\tav\999_854.doc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0073" w14:textId="77777777" w:rsidR="009F099B" w:rsidRDefault="009F099B">
      <w:pPr>
        <w:pStyle w:val="a5"/>
        <w:rPr>
          <w:rFonts w:cs="David"/>
          <w:sz w:val="24"/>
          <w:szCs w:val="24"/>
        </w:rPr>
      </w:pPr>
      <w:r>
        <w:separator/>
      </w:r>
    </w:p>
  </w:footnote>
  <w:footnote w:type="continuationSeparator" w:id="0">
    <w:p w14:paraId="576AF9DD" w14:textId="77777777" w:rsidR="009F099B" w:rsidRDefault="009F099B">
      <w:r>
        <w:continuationSeparator/>
      </w:r>
    </w:p>
  </w:footnote>
  <w:footnote w:id="1">
    <w:p w14:paraId="18631E0B" w14:textId="77777777" w:rsidR="002A7F1E" w:rsidRDefault="002A7F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תשס"ח מס' 6624</w:t>
        </w:r>
      </w:hyperlink>
      <w:r>
        <w:rPr>
          <w:rFonts w:cs="FrankRuehl" w:hint="cs"/>
          <w:rtl/>
        </w:rPr>
        <w:t xml:space="preserve"> מיום 27.11.2007 עמ' 118.</w:t>
      </w:r>
    </w:p>
    <w:p w14:paraId="2D843E93" w14:textId="77777777" w:rsidR="001A7AA4" w:rsidRDefault="00355E27" w:rsidP="001A7A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1A7AA4">
          <w:rPr>
            <w:rStyle w:val="Hyperlink"/>
            <w:rFonts w:cs="FrankRuehl" w:hint="cs"/>
            <w:rtl/>
          </w:rPr>
          <w:t>ק"ת תשע"א מס' 6968</w:t>
        </w:r>
      </w:hyperlink>
      <w:r>
        <w:rPr>
          <w:rFonts w:cs="FrankRuehl" w:hint="cs"/>
          <w:rtl/>
        </w:rPr>
        <w:t xml:space="preserve"> מיום 26.1.2011 עמ' 578 </w:t>
      </w:r>
      <w:r>
        <w:rPr>
          <w:rFonts w:cs="FrankRuehl"/>
          <w:rtl/>
        </w:rPr>
        <w:t>–</w:t>
      </w:r>
      <w:r>
        <w:rPr>
          <w:rFonts w:cs="FrankRuehl" w:hint="cs"/>
          <w:rtl/>
        </w:rPr>
        <w:t xml:space="preserve"> צו תשע"א-2011.</w:t>
      </w:r>
    </w:p>
    <w:p w14:paraId="4561582E" w14:textId="77777777" w:rsidR="00D66F87" w:rsidRDefault="00D66F87" w:rsidP="00D66F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560A60" w:rsidRPr="00D66F87">
          <w:rPr>
            <w:rStyle w:val="Hyperlink"/>
            <w:rFonts w:cs="FrankRuehl" w:hint="cs"/>
            <w:rtl/>
          </w:rPr>
          <w:t>ק"ת תשע"ב מס' 7137</w:t>
        </w:r>
      </w:hyperlink>
      <w:r w:rsidR="00560A60">
        <w:rPr>
          <w:rFonts w:cs="FrankRuehl" w:hint="cs"/>
          <w:rtl/>
        </w:rPr>
        <w:t xml:space="preserve"> מיום 2.7.2012 עמ' 1369</w:t>
      </w:r>
      <w:r w:rsidR="00A068CA">
        <w:rPr>
          <w:rFonts w:cs="FrankRuehl" w:hint="cs"/>
          <w:rtl/>
        </w:rPr>
        <w:t>א</w:t>
      </w:r>
      <w:r w:rsidR="00560A60">
        <w:rPr>
          <w:rFonts w:cs="FrankRuehl" w:hint="cs"/>
          <w:rtl/>
        </w:rPr>
        <w:t xml:space="preserve"> </w:t>
      </w:r>
      <w:r w:rsidR="00560A60">
        <w:rPr>
          <w:rFonts w:cs="FrankRuehl"/>
          <w:rtl/>
        </w:rPr>
        <w:t>–</w:t>
      </w:r>
      <w:r w:rsidR="00560A60">
        <w:rPr>
          <w:rFonts w:cs="FrankRuehl" w:hint="cs"/>
          <w:rtl/>
        </w:rPr>
        <w:t xml:space="preserve"> צו תשע"ב-2012.</w:t>
      </w:r>
    </w:p>
    <w:p w14:paraId="4280C131" w14:textId="77777777" w:rsidR="00281DAB" w:rsidRDefault="00281DAB" w:rsidP="00281D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36551" w:rsidRPr="00281DAB">
          <w:rPr>
            <w:rStyle w:val="Hyperlink"/>
            <w:rFonts w:cs="FrankRuehl" w:hint="cs"/>
            <w:rtl/>
          </w:rPr>
          <w:t>ק"ת תשע"ג מס' 7213</w:t>
        </w:r>
      </w:hyperlink>
      <w:r w:rsidR="00936551">
        <w:rPr>
          <w:rFonts w:cs="FrankRuehl" w:hint="cs"/>
          <w:rtl/>
        </w:rPr>
        <w:t xml:space="preserve"> מיום 20.1.2013 עמ' 640 </w:t>
      </w:r>
      <w:r w:rsidR="00936551">
        <w:rPr>
          <w:rFonts w:cs="FrankRuehl"/>
          <w:rtl/>
        </w:rPr>
        <w:t>–</w:t>
      </w:r>
      <w:r w:rsidR="00936551">
        <w:rPr>
          <w:rFonts w:cs="FrankRuehl" w:hint="cs"/>
          <w:rtl/>
        </w:rPr>
        <w:t xml:space="preserve"> צו תשע"ג-2013; תחילתו ביום 1.1.2013.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66C2" w14:textId="77777777" w:rsidR="002A7F1E" w:rsidRDefault="002A7F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8A30DE0" w14:textId="77777777" w:rsidR="002A7F1E" w:rsidRDefault="002A7F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580558" w14:textId="77777777" w:rsidR="002A7F1E" w:rsidRDefault="002A7F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2C1B" w14:textId="77777777" w:rsidR="002A7F1E" w:rsidRDefault="002A7F1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הפעלת רכב (מנועים ודלק) (ניפוק דלק במכלית), תשס"ח-2007</w:t>
    </w:r>
  </w:p>
  <w:p w14:paraId="1CB4D523" w14:textId="77777777" w:rsidR="002A7F1E" w:rsidRDefault="002A7F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616493" w14:textId="77777777" w:rsidR="002A7F1E" w:rsidRDefault="002A7F1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7590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F1E"/>
    <w:rsid w:val="00115340"/>
    <w:rsid w:val="00155899"/>
    <w:rsid w:val="00191760"/>
    <w:rsid w:val="001A7AA4"/>
    <w:rsid w:val="002754D0"/>
    <w:rsid w:val="00281DAB"/>
    <w:rsid w:val="002A7F1E"/>
    <w:rsid w:val="00355E27"/>
    <w:rsid w:val="00560A60"/>
    <w:rsid w:val="005647C3"/>
    <w:rsid w:val="0063795A"/>
    <w:rsid w:val="00722104"/>
    <w:rsid w:val="00936551"/>
    <w:rsid w:val="009F099B"/>
    <w:rsid w:val="00A068CA"/>
    <w:rsid w:val="00A60366"/>
    <w:rsid w:val="00AA7762"/>
    <w:rsid w:val="00B6041A"/>
    <w:rsid w:val="00BC48A2"/>
    <w:rsid w:val="00C576BD"/>
    <w:rsid w:val="00C9385D"/>
    <w:rsid w:val="00CC4DE3"/>
    <w:rsid w:val="00D66F87"/>
    <w:rsid w:val="00EC371A"/>
    <w:rsid w:val="00EF7240"/>
    <w:rsid w:val="00F11EAD"/>
    <w:rsid w:val="00F155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637D35"/>
  <w15:chartTrackingRefBased/>
  <w15:docId w15:val="{BC166FF8-78D0-4DB0-A868-BB0D4699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37.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6968.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21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37.pdf" TargetMode="External"/><Relationship Id="rId2" Type="http://schemas.openxmlformats.org/officeDocument/2006/relationships/hyperlink" Target="http://www.nevo.co.il/Law_word/law06/TAK-6968.pdf" TargetMode="External"/><Relationship Id="rId1" Type="http://schemas.openxmlformats.org/officeDocument/2006/relationships/hyperlink" Target="http://www.nevo.co.il/Law_word/law06/tak-6624.pdf" TargetMode="External"/><Relationship Id="rId4" Type="http://schemas.openxmlformats.org/officeDocument/2006/relationships/hyperlink" Target="http://www.nevo.co.il/Law_word/law06/TAK-72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11466</CharactersWithSpaces>
  <SharedDoc>false</SharedDoc>
  <HLinks>
    <vt:vector size="96" baseType="variant">
      <vt:variant>
        <vt:i4>393283</vt:i4>
      </vt:variant>
      <vt:variant>
        <vt:i4>57</vt:i4>
      </vt:variant>
      <vt:variant>
        <vt:i4>0</vt:i4>
      </vt:variant>
      <vt:variant>
        <vt:i4>5</vt:i4>
      </vt:variant>
      <vt:variant>
        <vt:lpwstr>http://www.nevo.co.il/advertisements/nevo-100.doc</vt:lpwstr>
      </vt:variant>
      <vt:variant>
        <vt:lpwstr/>
      </vt:variant>
      <vt:variant>
        <vt:i4>8323081</vt:i4>
      </vt:variant>
      <vt:variant>
        <vt:i4>54</vt:i4>
      </vt:variant>
      <vt:variant>
        <vt:i4>0</vt:i4>
      </vt:variant>
      <vt:variant>
        <vt:i4>5</vt:i4>
      </vt:variant>
      <vt:variant>
        <vt:lpwstr>http://www.nevo.co.il/Law_word/law06/tak-7213.pdf</vt:lpwstr>
      </vt:variant>
      <vt:variant>
        <vt:lpwstr/>
      </vt:variant>
      <vt:variant>
        <vt:i4>8192014</vt:i4>
      </vt:variant>
      <vt:variant>
        <vt:i4>51</vt:i4>
      </vt:variant>
      <vt:variant>
        <vt:i4>0</vt:i4>
      </vt:variant>
      <vt:variant>
        <vt:i4>5</vt:i4>
      </vt:variant>
      <vt:variant>
        <vt:lpwstr>http://www.nevo.co.il/Law_word/law06/tak-7137.pdf</vt:lpwstr>
      </vt:variant>
      <vt:variant>
        <vt:lpwstr/>
      </vt:variant>
      <vt:variant>
        <vt:i4>7929865</vt:i4>
      </vt:variant>
      <vt:variant>
        <vt:i4>48</vt:i4>
      </vt:variant>
      <vt:variant>
        <vt:i4>0</vt:i4>
      </vt:variant>
      <vt:variant>
        <vt:i4>5</vt:i4>
      </vt:variant>
      <vt:variant>
        <vt:lpwstr>http://www.nevo.co.il/Law_word/law06/tak-6968.pdf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8323081</vt:i4>
      </vt:variant>
      <vt:variant>
        <vt:i4>9</vt:i4>
      </vt:variant>
      <vt:variant>
        <vt:i4>0</vt:i4>
      </vt:variant>
      <vt:variant>
        <vt:i4>5</vt:i4>
      </vt:variant>
      <vt:variant>
        <vt:lpwstr>http://www.nevo.co.il/Law_word/law06/TAK-7213.pdf</vt:lpwstr>
      </vt:variant>
      <vt:variant>
        <vt:lpwstr/>
      </vt:variant>
      <vt:variant>
        <vt:i4>8192014</vt:i4>
      </vt:variant>
      <vt:variant>
        <vt:i4>6</vt:i4>
      </vt:variant>
      <vt:variant>
        <vt:i4>0</vt:i4>
      </vt:variant>
      <vt:variant>
        <vt:i4>5</vt:i4>
      </vt:variant>
      <vt:variant>
        <vt:lpwstr>http://www.nevo.co.il/Law_word/law06/tak-7137.pdf</vt:lpwstr>
      </vt:variant>
      <vt:variant>
        <vt:lpwstr/>
      </vt:variant>
      <vt:variant>
        <vt:i4>7929865</vt:i4>
      </vt:variant>
      <vt:variant>
        <vt:i4>3</vt:i4>
      </vt:variant>
      <vt:variant>
        <vt:i4>0</vt:i4>
      </vt:variant>
      <vt:variant>
        <vt:i4>5</vt:i4>
      </vt:variant>
      <vt:variant>
        <vt:lpwstr>http://www.nevo.co.il/Law_word/law06/TAK-6968.pdf</vt:lpwstr>
      </vt:variant>
      <vt:variant>
        <vt:lpwstr/>
      </vt:variant>
      <vt:variant>
        <vt:i4>8192010</vt:i4>
      </vt:variant>
      <vt:variant>
        <vt:i4>0</vt:i4>
      </vt:variant>
      <vt:variant>
        <vt:i4>0</vt:i4>
      </vt:variant>
      <vt:variant>
        <vt:i4>5</vt:i4>
      </vt:variant>
      <vt:variant>
        <vt:lpwstr>http://www.nevo.co.il/Law_word/law06/tak-6624.pdf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הפעלת רכב (מנועים ודלק) (ניפוק דלק במכלית), תשס"ח-2007</vt:lpwstr>
  </property>
  <property fmtid="{D5CDD505-2E9C-101B-9397-08002B2CF9AE}" pid="4" name="LAWNUMBER">
    <vt:lpwstr>0854</vt:lpwstr>
  </property>
  <property fmtid="{D5CDD505-2E9C-101B-9397-08002B2CF9AE}" pid="5" name="TYPE">
    <vt:lpwstr>01</vt:lpwstr>
  </property>
  <property fmtid="{D5CDD505-2E9C-101B-9397-08002B2CF9AE}" pid="6" name="CHNAME">
    <vt:lpwstr>רכב</vt:lpwstr>
  </property>
  <property fmtid="{D5CDD505-2E9C-101B-9397-08002B2CF9AE}" pid="7" name="LINKK2">
    <vt:lpwstr>http://www.nevo.co.il/Law_word/law06/TAK-6968.pdf;‎רשומות - תקנות כלליות#תוקן ק"ת ‏תשע"א מס' 6968 #מיום 26.1.2011 עמ' 578 – צו תשע"א-2011‏</vt:lpwstr>
  </property>
  <property fmtid="{D5CDD505-2E9C-101B-9397-08002B2CF9AE}" pid="8" name="LINKK3">
    <vt:lpwstr>http://www.nevo.co.il/Law_word/law06/tak-7137.pdf;‎רשומות - תקנות כלליות#ק"ת תשע"ב מס' ‏‏7137 #מיום 2.7.2012 עמ' 1369א – צו תשע"ב-2012‏</vt:lpwstr>
  </property>
  <property fmtid="{D5CDD505-2E9C-101B-9397-08002B2CF9AE}" pid="9" name="LINKK4">
    <vt:lpwstr>http://www.nevo.co.il/Law_word/law06/TAK-7213.pdf;רשומות - תקנות כלליות#ק"ת תשע"ג מס' 7213 #מיום 20.1.2013 עמ' 640 – צו תשע"ג-2013; תחילתו ביום 1.1.2013</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http://web1.nevo.co.il/Law_word/law06/tak-6624.pdf;רשומות – תקנות כלליות#פורסם ק"ת תשס"ח מס' 6624#מיום 27.11.2007#עמ' 118</vt:lpwstr>
  </property>
  <property fmtid="{D5CDD505-2E9C-101B-9397-08002B2CF9AE}" pid="22" name="MEKOR_NAME1">
    <vt:lpwstr>חוק הפעלת רכב (מנועים ודלק)</vt:lpwstr>
  </property>
  <property fmtid="{D5CDD505-2E9C-101B-9397-08002B2CF9AE}" pid="23" name="MEKOR_SAIF1">
    <vt:lpwstr>2X1X;4X1X;4X4X;4X5X</vt:lpwstr>
  </property>
  <property fmtid="{D5CDD505-2E9C-101B-9397-08002B2CF9AE}" pid="24" name="MEKOR_NAME2">
    <vt:lpwstr>חוק הפעלת רכב (מנועים ודלק)</vt:lpwstr>
  </property>
  <property fmtid="{D5CDD505-2E9C-101B-9397-08002B2CF9AE}" pid="25" name="MEKOR_SAIF2">
    <vt:lpwstr>20X</vt:lpwstr>
  </property>
  <property fmtid="{D5CDD505-2E9C-101B-9397-08002B2CF9AE}" pid="26" name="MEKOR_NAME3">
    <vt:lpwstr>חוק-יסוד: הכנסת</vt:lpwstr>
  </property>
  <property fmtid="{D5CDD505-2E9C-101B-9397-08002B2CF9AE}" pid="27" name="MEKOR_SAIF3">
    <vt:lpwstr>21אX</vt:lpwstr>
  </property>
  <property fmtid="{D5CDD505-2E9C-101B-9397-08002B2CF9AE}" pid="28" name="MEKOR_NAME4">
    <vt:lpwstr>חוק העונשין</vt:lpwstr>
  </property>
  <property fmtid="{D5CDD505-2E9C-101B-9397-08002B2CF9AE}" pid="29" name="MEKOR_SAIF4">
    <vt:lpwstr>2XבX</vt:lpwstr>
  </property>
  <property fmtid="{D5CDD505-2E9C-101B-9397-08002B2CF9AE}" pid="30" name="NOSE11">
    <vt:lpwstr>רשויות ומשפט מנהלי</vt:lpwstr>
  </property>
  <property fmtid="{D5CDD505-2E9C-101B-9397-08002B2CF9AE}" pid="31" name="NOSE21">
    <vt:lpwstr>תשתיות</vt:lpwstr>
  </property>
  <property fmtid="{D5CDD505-2E9C-101B-9397-08002B2CF9AE}" pid="32" name="NOSE31">
    <vt:lpwstr>דלק</vt:lpwstr>
  </property>
  <property fmtid="{D5CDD505-2E9C-101B-9397-08002B2CF9AE}" pid="33" name="NOSE41">
    <vt:lpwstr>הפעלת רכב</vt:lpwstr>
  </property>
  <property fmtid="{D5CDD505-2E9C-101B-9397-08002B2CF9AE}" pid="34" name="NOSE12">
    <vt:lpwstr>רשויות ומשפט מנהלי</vt:lpwstr>
  </property>
  <property fmtid="{D5CDD505-2E9C-101B-9397-08002B2CF9AE}" pid="35" name="NOSE22">
    <vt:lpwstr>תעבורה</vt:lpwstr>
  </property>
  <property fmtid="{D5CDD505-2E9C-101B-9397-08002B2CF9AE}" pid="36" name="NOSE32">
    <vt:lpwstr>רכב</vt:lpwstr>
  </property>
  <property fmtid="{D5CDD505-2E9C-101B-9397-08002B2CF9AE}" pid="37" name="NOSE42">
    <vt:lpwstr>הפעלת רכב</vt:lpwstr>
  </property>
  <property fmtid="{D5CDD505-2E9C-101B-9397-08002B2CF9AE}" pid="38" name="NOSE13">
    <vt:lpwstr>רשויות ומשפט מנהלי</vt:lpwstr>
  </property>
  <property fmtid="{D5CDD505-2E9C-101B-9397-08002B2CF9AE}" pid="39" name="NOSE23">
    <vt:lpwstr>תעבורה</vt:lpwstr>
  </property>
  <property fmtid="{D5CDD505-2E9C-101B-9397-08002B2CF9AE}" pid="40" name="NOSE33">
    <vt:lpwstr>רכב</vt:lpwstr>
  </property>
  <property fmtid="{D5CDD505-2E9C-101B-9397-08002B2CF9AE}" pid="41" name="NOSE43">
    <vt:lpwstr>מנועים ודלק</vt:lpwstr>
  </property>
  <property fmtid="{D5CDD505-2E9C-101B-9397-08002B2CF9AE}" pid="42" name="NOSE14">
    <vt:lpwstr/>
  </property>
  <property fmtid="{D5CDD505-2E9C-101B-9397-08002B2CF9AE}" pid="43" name="NOSE24">
    <vt:lpwstr/>
  </property>
  <property fmtid="{D5CDD505-2E9C-101B-9397-08002B2CF9AE}" pid="44" name="NOSE34">
    <vt:lpwstr/>
  </property>
  <property fmtid="{D5CDD505-2E9C-101B-9397-08002B2CF9AE}" pid="45" name="NOSE44">
    <vt:lpwstr/>
  </property>
  <property fmtid="{D5CDD505-2E9C-101B-9397-08002B2CF9AE}" pid="46" name="NOSE15">
    <vt:lpwstr/>
  </property>
  <property fmtid="{D5CDD505-2E9C-101B-9397-08002B2CF9AE}" pid="47" name="NOSE25">
    <vt:lpwstr/>
  </property>
  <property fmtid="{D5CDD505-2E9C-101B-9397-08002B2CF9AE}" pid="48" name="NOSE35">
    <vt:lpwstr/>
  </property>
  <property fmtid="{D5CDD505-2E9C-101B-9397-08002B2CF9AE}" pid="49" name="NOSE45">
    <vt:lpwstr/>
  </property>
  <property fmtid="{D5CDD505-2E9C-101B-9397-08002B2CF9AE}" pid="50" name="NOSE16">
    <vt:lpwstr/>
  </property>
  <property fmtid="{D5CDD505-2E9C-101B-9397-08002B2CF9AE}" pid="51" name="NOSE26">
    <vt:lpwstr/>
  </property>
  <property fmtid="{D5CDD505-2E9C-101B-9397-08002B2CF9AE}" pid="52" name="NOSE36">
    <vt:lpwstr/>
  </property>
  <property fmtid="{D5CDD505-2E9C-101B-9397-08002B2CF9AE}" pid="53" name="NOSE46">
    <vt:lpwstr/>
  </property>
  <property fmtid="{D5CDD505-2E9C-101B-9397-08002B2CF9AE}" pid="54" name="NOSE17">
    <vt:lpwstr/>
  </property>
  <property fmtid="{D5CDD505-2E9C-101B-9397-08002B2CF9AE}" pid="55" name="NOSE27">
    <vt:lpwstr/>
  </property>
  <property fmtid="{D5CDD505-2E9C-101B-9397-08002B2CF9AE}" pid="56" name="NOSE37">
    <vt:lpwstr/>
  </property>
  <property fmtid="{D5CDD505-2E9C-101B-9397-08002B2CF9AE}" pid="57" name="NOSE47">
    <vt:lpwstr/>
  </property>
  <property fmtid="{D5CDD505-2E9C-101B-9397-08002B2CF9AE}" pid="58" name="NOSE18">
    <vt:lpwstr/>
  </property>
  <property fmtid="{D5CDD505-2E9C-101B-9397-08002B2CF9AE}" pid="59" name="NOSE28">
    <vt:lpwstr/>
  </property>
  <property fmtid="{D5CDD505-2E9C-101B-9397-08002B2CF9AE}" pid="60" name="NOSE38">
    <vt:lpwstr/>
  </property>
  <property fmtid="{D5CDD505-2E9C-101B-9397-08002B2CF9AE}" pid="61" name="NOSE48">
    <vt:lpwstr/>
  </property>
  <property fmtid="{D5CDD505-2E9C-101B-9397-08002B2CF9AE}" pid="62" name="NOSE19">
    <vt:lpwstr/>
  </property>
  <property fmtid="{D5CDD505-2E9C-101B-9397-08002B2CF9AE}" pid="63" name="NOSE29">
    <vt:lpwstr/>
  </property>
  <property fmtid="{D5CDD505-2E9C-101B-9397-08002B2CF9AE}" pid="64" name="NOSE39">
    <vt:lpwstr/>
  </property>
  <property fmtid="{D5CDD505-2E9C-101B-9397-08002B2CF9AE}" pid="65" name="NOSE4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NOSE410">
    <vt:lpwstr/>
  </property>
  <property fmtid="{D5CDD505-2E9C-101B-9397-08002B2CF9AE}" pid="70" name="MEKORSAMCHUT">
    <vt:lpwstr/>
  </property>
</Properties>
</file>