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27AA5" w14:textId="77777777" w:rsidR="004361C8" w:rsidRDefault="004361C8">
      <w:pPr>
        <w:pStyle w:val="big-header"/>
        <w:ind w:left="0" w:right="1134"/>
      </w:pPr>
      <w:r>
        <w:rPr>
          <w:rFonts w:hint="cs"/>
          <w:rtl/>
        </w:rPr>
        <w:t xml:space="preserve">צו הרשויות המקומיות (הסדרת השמירה) (סמכויות שומרים) (מס' 2), </w:t>
      </w:r>
      <w:r>
        <w:rPr>
          <w:rtl/>
        </w:rPr>
        <w:br/>
      </w:r>
      <w:r>
        <w:rPr>
          <w:rFonts w:hint="cs"/>
          <w:rtl/>
        </w:rPr>
        <w:t>תשס"ה-2005</w:t>
      </w:r>
    </w:p>
    <w:p w14:paraId="6CE7CB1B" w14:textId="77777777" w:rsidR="00706BD7" w:rsidRPr="00706BD7" w:rsidRDefault="00706BD7" w:rsidP="00706BD7">
      <w:pPr>
        <w:spacing w:line="320" w:lineRule="auto"/>
        <w:jc w:val="left"/>
        <w:rPr>
          <w:rFonts w:cs="FrankRuehl"/>
          <w:szCs w:val="26"/>
          <w:rtl/>
        </w:rPr>
      </w:pPr>
    </w:p>
    <w:p w14:paraId="1367A95F" w14:textId="77777777" w:rsidR="00706BD7" w:rsidRDefault="00706BD7" w:rsidP="00706BD7">
      <w:pPr>
        <w:spacing w:line="320" w:lineRule="auto"/>
        <w:jc w:val="left"/>
        <w:rPr>
          <w:rtl/>
        </w:rPr>
      </w:pPr>
    </w:p>
    <w:p w14:paraId="0AD95DFC" w14:textId="77777777" w:rsidR="00706BD7" w:rsidRPr="00706BD7" w:rsidRDefault="00706BD7" w:rsidP="00706BD7">
      <w:pPr>
        <w:spacing w:line="320" w:lineRule="auto"/>
        <w:jc w:val="left"/>
        <w:rPr>
          <w:rFonts w:cs="Miriam"/>
          <w:szCs w:val="22"/>
          <w:rtl/>
        </w:rPr>
      </w:pPr>
      <w:r w:rsidRPr="00706BD7">
        <w:rPr>
          <w:rFonts w:cs="Miriam"/>
          <w:szCs w:val="22"/>
          <w:rtl/>
        </w:rPr>
        <w:t>רשויות ומשפט מנהלי</w:t>
      </w:r>
      <w:r w:rsidRPr="00706BD7">
        <w:rPr>
          <w:rFonts w:cs="FrankRuehl"/>
          <w:szCs w:val="26"/>
          <w:rtl/>
        </w:rPr>
        <w:t xml:space="preserve"> – רשויות מקומיות</w:t>
      </w:r>
    </w:p>
    <w:p w14:paraId="4FF73010" w14:textId="77777777" w:rsidR="004361C8" w:rsidRDefault="004361C8">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361C8" w14:paraId="4544F77D" w14:textId="77777777">
        <w:tblPrEx>
          <w:tblCellMar>
            <w:top w:w="0" w:type="dxa"/>
            <w:bottom w:w="0" w:type="dxa"/>
          </w:tblCellMar>
        </w:tblPrEx>
        <w:trPr>
          <w:jc w:val="right"/>
        </w:trPr>
        <w:tc>
          <w:tcPr>
            <w:tcW w:w="850" w:type="dxa"/>
          </w:tcPr>
          <w:p w14:paraId="58FBB366" w14:textId="77777777" w:rsidR="004361C8" w:rsidRDefault="004361C8">
            <w:pPr>
              <w:spacing w:line="240" w:lineRule="auto"/>
              <w:jc w:val="left"/>
              <w:rPr>
                <w:rFonts w:hint="cs"/>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4B1E24E0" w14:textId="77777777" w:rsidR="004361C8" w:rsidRDefault="004361C8">
            <w:pPr>
              <w:spacing w:line="240" w:lineRule="auto"/>
              <w:jc w:val="left"/>
              <w:rPr>
                <w:rFonts w:hint="cs"/>
                <w:sz w:val="24"/>
              </w:rPr>
            </w:pPr>
            <w:hyperlink w:anchor="Seif0" w:tooltip="הענקת סמכויות" w:history="1">
              <w:r>
                <w:rPr>
                  <w:rStyle w:val="Hyperlink"/>
                </w:rPr>
                <w:t>Go</w:t>
              </w:r>
            </w:hyperlink>
          </w:p>
        </w:tc>
        <w:tc>
          <w:tcPr>
            <w:tcW w:w="5669" w:type="dxa"/>
          </w:tcPr>
          <w:p w14:paraId="5E797087" w14:textId="77777777" w:rsidR="004361C8" w:rsidRDefault="004361C8">
            <w:pPr>
              <w:spacing w:line="240" w:lineRule="auto"/>
              <w:jc w:val="left"/>
              <w:rPr>
                <w:sz w:val="24"/>
                <w:rtl/>
              </w:rPr>
            </w:pPr>
            <w:r>
              <w:rPr>
                <w:sz w:val="24"/>
                <w:rtl/>
              </w:rPr>
              <w:t>הענקת סמכויות</w:t>
            </w:r>
          </w:p>
        </w:tc>
        <w:tc>
          <w:tcPr>
            <w:tcW w:w="1247" w:type="dxa"/>
          </w:tcPr>
          <w:p w14:paraId="73DECBFF" w14:textId="77777777" w:rsidR="004361C8" w:rsidRDefault="004361C8">
            <w:pPr>
              <w:spacing w:line="240" w:lineRule="auto"/>
              <w:jc w:val="left"/>
              <w:rPr>
                <w:rFonts w:hint="cs"/>
                <w:sz w:val="24"/>
              </w:rPr>
            </w:pPr>
            <w:r>
              <w:rPr>
                <w:sz w:val="24"/>
                <w:rtl/>
              </w:rPr>
              <w:t xml:space="preserve">סעיף 1 </w:t>
            </w:r>
          </w:p>
        </w:tc>
      </w:tr>
      <w:tr w:rsidR="004361C8" w14:paraId="14BC80BC" w14:textId="77777777">
        <w:tblPrEx>
          <w:tblCellMar>
            <w:top w:w="0" w:type="dxa"/>
            <w:bottom w:w="0" w:type="dxa"/>
          </w:tblCellMar>
        </w:tblPrEx>
        <w:trPr>
          <w:jc w:val="right"/>
        </w:trPr>
        <w:tc>
          <w:tcPr>
            <w:tcW w:w="850" w:type="dxa"/>
          </w:tcPr>
          <w:p w14:paraId="01D74803" w14:textId="77777777" w:rsidR="004361C8" w:rsidRDefault="004361C8">
            <w:pPr>
              <w:spacing w:line="240" w:lineRule="auto"/>
              <w:jc w:val="left"/>
              <w:rPr>
                <w:rFonts w:hint="cs"/>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1</w:t>
            </w:r>
            <w:r>
              <w:rPr>
                <w:sz w:val="24"/>
                <w:rtl/>
              </w:rPr>
              <w:fldChar w:fldCharType="end"/>
            </w:r>
          </w:p>
        </w:tc>
        <w:tc>
          <w:tcPr>
            <w:tcW w:w="567" w:type="dxa"/>
          </w:tcPr>
          <w:p w14:paraId="3AF24726" w14:textId="77777777" w:rsidR="004361C8" w:rsidRDefault="004361C8">
            <w:pPr>
              <w:spacing w:line="240" w:lineRule="auto"/>
              <w:jc w:val="left"/>
              <w:rPr>
                <w:rFonts w:hint="cs"/>
                <w:sz w:val="24"/>
              </w:rPr>
            </w:pPr>
            <w:hyperlink w:anchor="Seif1" w:tooltip="תחילה" w:history="1">
              <w:r>
                <w:rPr>
                  <w:rStyle w:val="Hyperlink"/>
                </w:rPr>
                <w:t>Go</w:t>
              </w:r>
            </w:hyperlink>
          </w:p>
        </w:tc>
        <w:tc>
          <w:tcPr>
            <w:tcW w:w="5669" w:type="dxa"/>
          </w:tcPr>
          <w:p w14:paraId="7BA04F26" w14:textId="77777777" w:rsidR="004361C8" w:rsidRDefault="004361C8">
            <w:pPr>
              <w:spacing w:line="240" w:lineRule="auto"/>
              <w:jc w:val="left"/>
              <w:rPr>
                <w:sz w:val="24"/>
                <w:rtl/>
              </w:rPr>
            </w:pPr>
            <w:r>
              <w:rPr>
                <w:sz w:val="24"/>
                <w:rtl/>
              </w:rPr>
              <w:t>תחילה</w:t>
            </w:r>
          </w:p>
        </w:tc>
        <w:tc>
          <w:tcPr>
            <w:tcW w:w="1247" w:type="dxa"/>
          </w:tcPr>
          <w:p w14:paraId="50096D8C" w14:textId="77777777" w:rsidR="004361C8" w:rsidRDefault="004361C8">
            <w:pPr>
              <w:spacing w:line="240" w:lineRule="auto"/>
              <w:jc w:val="left"/>
              <w:rPr>
                <w:rFonts w:hint="cs"/>
                <w:sz w:val="24"/>
              </w:rPr>
            </w:pPr>
            <w:r>
              <w:rPr>
                <w:sz w:val="24"/>
                <w:rtl/>
              </w:rPr>
              <w:t xml:space="preserve">סעיף 2 </w:t>
            </w:r>
          </w:p>
        </w:tc>
      </w:tr>
    </w:tbl>
    <w:p w14:paraId="1EA35CDA" w14:textId="77777777" w:rsidR="004361C8" w:rsidRDefault="004361C8">
      <w:pPr>
        <w:pStyle w:val="P00"/>
        <w:spacing w:before="72"/>
        <w:ind w:left="0" w:right="1134"/>
        <w:rPr>
          <w:rFonts w:hint="cs"/>
          <w:rtl/>
        </w:rPr>
      </w:pPr>
    </w:p>
    <w:p w14:paraId="7C2DE5A4" w14:textId="77777777" w:rsidR="004361C8" w:rsidRDefault="004361C8" w:rsidP="00706BD7">
      <w:pPr>
        <w:pStyle w:val="big-header"/>
        <w:ind w:left="0" w:right="1134"/>
        <w:rPr>
          <w:rStyle w:val="default"/>
          <w:rFonts w:cs="FrankRuehl"/>
          <w:rtl/>
        </w:rPr>
      </w:pPr>
      <w:r>
        <w:rPr>
          <w:rtl/>
        </w:rPr>
        <w:br w:type="page"/>
      </w:r>
      <w:r>
        <w:rPr>
          <w:rFonts w:hint="cs"/>
          <w:rtl/>
        </w:rPr>
        <w:lastRenderedPageBreak/>
        <w:t xml:space="preserve">צו הרשויות המקומיות (הסדרת השמירה) (סמכויות שומרים) (מס' 2), </w:t>
      </w:r>
      <w:r>
        <w:rPr>
          <w:rtl/>
        </w:rPr>
        <w:br/>
      </w:r>
      <w:r>
        <w:rPr>
          <w:rFonts w:hint="cs"/>
          <w:rtl/>
        </w:rPr>
        <w:t>תשס"ה-2005</w:t>
      </w:r>
      <w:r>
        <w:rPr>
          <w:rStyle w:val="default"/>
          <w:sz w:val="22"/>
          <w:szCs w:val="22"/>
          <w:rtl/>
        </w:rPr>
        <w:footnoteReference w:customMarkFollows="1" w:id="1"/>
        <w:t>*</w:t>
      </w:r>
    </w:p>
    <w:p w14:paraId="07CFCB9A" w14:textId="77777777" w:rsidR="004361C8" w:rsidRDefault="004361C8">
      <w:pPr>
        <w:pStyle w:val="P00"/>
        <w:spacing w:before="72"/>
        <w:ind w:left="0" w:right="1134"/>
        <w:rPr>
          <w:rStyle w:val="default"/>
          <w:rFonts w:cs="FrankRuehl" w:hint="cs"/>
          <w:rtl/>
        </w:rPr>
      </w:pPr>
      <w:r>
        <w:rPr>
          <w:rStyle w:val="default"/>
          <w:rFonts w:cs="FrankRuehl" w:hint="cs"/>
          <w:rtl/>
        </w:rPr>
        <w:tab/>
        <w:t xml:space="preserve">בתוקף סמכותי לפי סעיף 6א(ב) לחוק הרשויות המקומיות (הסדרת השמירה), התשכ"א-1961 (להלן </w:t>
      </w:r>
      <w:r>
        <w:rPr>
          <w:rStyle w:val="default"/>
          <w:rFonts w:cs="FrankRuehl"/>
          <w:rtl/>
        </w:rPr>
        <w:t>–</w:t>
      </w:r>
      <w:r>
        <w:rPr>
          <w:rStyle w:val="default"/>
          <w:rFonts w:cs="FrankRuehl" w:hint="cs"/>
          <w:rtl/>
        </w:rPr>
        <w:t xml:space="preserve"> החוק), ולאחר התייעצות עם שר הביטחון, אני מצווה לאמור:</w:t>
      </w:r>
    </w:p>
    <w:p w14:paraId="49C292B6" w14:textId="77777777" w:rsidR="004361C8" w:rsidRDefault="004361C8">
      <w:pPr>
        <w:pStyle w:val="P00"/>
        <w:spacing w:before="72"/>
        <w:ind w:left="0" w:right="1134"/>
        <w:rPr>
          <w:rStyle w:val="default"/>
          <w:rFonts w:cs="FrankRuehl" w:hint="cs"/>
          <w:rtl/>
        </w:rPr>
      </w:pPr>
      <w:bookmarkStart w:id="0" w:name="Seif0"/>
      <w:bookmarkEnd w:id="0"/>
      <w:r>
        <w:rPr>
          <w:lang w:val="he-IL"/>
        </w:rPr>
        <w:pict w14:anchorId="5182722B">
          <v:rect id="_x0000_s1026" style="position:absolute;left:0;text-align:left;margin-left:464.5pt;margin-top:8.05pt;width:75.05pt;height:7.6pt;z-index:251657216" o:allowincell="f" filled="f" stroked="f" strokecolor="lime" strokeweight=".25pt">
            <v:textbox inset="0,0,0,0">
              <w:txbxContent>
                <w:p w14:paraId="347C1072" w14:textId="77777777" w:rsidR="004361C8" w:rsidRDefault="004361C8">
                  <w:pPr>
                    <w:spacing w:line="160" w:lineRule="exact"/>
                    <w:jc w:val="left"/>
                    <w:rPr>
                      <w:rFonts w:cs="Miriam" w:hint="cs"/>
                      <w:noProof/>
                      <w:szCs w:val="18"/>
                      <w:rtl/>
                    </w:rPr>
                  </w:pPr>
                  <w:r>
                    <w:rPr>
                      <w:rFonts w:cs="Miriam" w:hint="cs"/>
                      <w:szCs w:val="18"/>
                      <w:rtl/>
                    </w:rPr>
                    <w:t>הענקת סמכויות</w:t>
                  </w:r>
                </w:p>
              </w:txbxContent>
            </v:textbox>
            <w10:anchorlock/>
          </v:rect>
        </w:pict>
      </w:r>
      <w:r>
        <w:rPr>
          <w:rStyle w:val="big-number"/>
          <w:rtl/>
        </w:rPr>
        <w:t>1.</w:t>
      </w:r>
      <w:r>
        <w:rPr>
          <w:rStyle w:val="big-number"/>
          <w:rtl/>
        </w:rPr>
        <w:tab/>
      </w:r>
      <w:r>
        <w:rPr>
          <w:rStyle w:val="default"/>
          <w:rFonts w:cs="FrankRuehl" w:hint="cs"/>
          <w:rtl/>
        </w:rPr>
        <w:t>לשם שמירה על ביטחון הציבור מפני פעולות איבה, יהיו לשומר ביישוב שבמועצה אזורית כמפורט בתוספת, שהוטל עליה צו שמירה לפי החוק, הסמכויות המפורטות בסעיף 6א(ג) לחוק, בכפוף למגבלות ולתנאים כקבוע בסעיף 6א האמור.</w:t>
      </w:r>
    </w:p>
    <w:p w14:paraId="488319B2" w14:textId="77777777" w:rsidR="004361C8" w:rsidRDefault="004361C8">
      <w:pPr>
        <w:pStyle w:val="P00"/>
        <w:spacing w:before="72"/>
        <w:ind w:left="0" w:right="1134"/>
        <w:rPr>
          <w:rStyle w:val="default"/>
          <w:rFonts w:cs="FrankRuehl" w:hint="cs"/>
          <w:rtl/>
        </w:rPr>
      </w:pPr>
      <w:bookmarkStart w:id="1" w:name="Seif1"/>
      <w:bookmarkEnd w:id="1"/>
      <w:r>
        <w:rPr>
          <w:lang w:val="he-IL"/>
        </w:rPr>
        <w:pict w14:anchorId="1462C280">
          <v:rect id="_x0000_s1104" style="position:absolute;left:0;text-align:left;margin-left:464.5pt;margin-top:8.05pt;width:75.05pt;height:6.5pt;z-index:251658240" o:allowincell="f" filled="f" stroked="f" strokecolor="lime" strokeweight=".25pt">
            <v:textbox inset="0,0,0,0">
              <w:txbxContent>
                <w:p w14:paraId="6E7A0A69" w14:textId="77777777" w:rsidR="004361C8" w:rsidRDefault="004361C8">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תחילתו של צו זה 30 ימים מיום פרסומו.</w:t>
      </w:r>
    </w:p>
    <w:p w14:paraId="687DA9BD" w14:textId="77777777" w:rsidR="004361C8" w:rsidRDefault="004361C8">
      <w:pPr>
        <w:pStyle w:val="P00"/>
        <w:spacing w:before="72"/>
        <w:ind w:left="0" w:right="1134"/>
        <w:rPr>
          <w:rStyle w:val="default"/>
          <w:rFonts w:cs="FrankRuehl" w:hint="cs"/>
          <w:rtl/>
        </w:rPr>
      </w:pPr>
    </w:p>
    <w:p w14:paraId="37E59CF7" w14:textId="77777777" w:rsidR="004361C8" w:rsidRDefault="004361C8">
      <w:pPr>
        <w:pStyle w:val="P00"/>
        <w:spacing w:before="72"/>
        <w:ind w:left="0" w:right="1134"/>
        <w:jc w:val="center"/>
        <w:rPr>
          <w:rStyle w:val="default"/>
          <w:rFonts w:cs="FrankRuehl" w:hint="cs"/>
          <w:b/>
          <w:bCs/>
          <w:rtl/>
        </w:rPr>
      </w:pPr>
      <w:r>
        <w:rPr>
          <w:rStyle w:val="default"/>
          <w:rFonts w:cs="FrankRuehl" w:hint="cs"/>
          <w:b/>
          <w:bCs/>
          <w:rtl/>
        </w:rPr>
        <w:t>תוספת</w:t>
      </w:r>
    </w:p>
    <w:p w14:paraId="7EC37962" w14:textId="77777777" w:rsidR="004361C8" w:rsidRDefault="004361C8">
      <w:pPr>
        <w:pStyle w:val="P00"/>
        <w:spacing w:before="72"/>
        <w:ind w:left="0" w:right="1134"/>
        <w:jc w:val="center"/>
        <w:rPr>
          <w:rStyle w:val="default"/>
          <w:rFonts w:cs="FrankRuehl" w:hint="cs"/>
          <w:sz w:val="24"/>
          <w:szCs w:val="24"/>
          <w:rtl/>
        </w:rPr>
      </w:pPr>
      <w:r>
        <w:rPr>
          <w:rStyle w:val="default"/>
          <w:rFonts w:cs="FrankRuehl" w:hint="cs"/>
          <w:sz w:val="24"/>
          <w:szCs w:val="24"/>
          <w:rtl/>
        </w:rPr>
        <w:t>(סעיף 1)</w:t>
      </w:r>
    </w:p>
    <w:p w14:paraId="2C1493A6" w14:textId="77777777" w:rsidR="004361C8" w:rsidRDefault="004361C8">
      <w:pPr>
        <w:pStyle w:val="P00"/>
        <w:pBdr>
          <w:bottom w:val="single" w:sz="4" w:space="1" w:color="auto"/>
        </w:pBdr>
        <w:tabs>
          <w:tab w:val="clear" w:pos="624"/>
          <w:tab w:val="clear" w:pos="1021"/>
          <w:tab w:val="clear" w:pos="1474"/>
          <w:tab w:val="clear" w:pos="1928"/>
          <w:tab w:val="clear" w:pos="2381"/>
          <w:tab w:val="clear" w:pos="6259"/>
          <w:tab w:val="center" w:pos="2835"/>
          <w:tab w:val="center" w:pos="5670"/>
        </w:tabs>
        <w:spacing w:before="72"/>
        <w:ind w:left="624" w:right="1134"/>
        <w:rPr>
          <w:rFonts w:hint="cs"/>
          <w:sz w:val="22"/>
          <w:szCs w:val="22"/>
          <w:rtl/>
        </w:rPr>
      </w:pPr>
      <w:r>
        <w:rPr>
          <w:rFonts w:hint="cs"/>
          <w:sz w:val="22"/>
          <w:szCs w:val="22"/>
          <w:rtl/>
        </w:rPr>
        <w:tab/>
        <w:t>מועצה אזורית</w:t>
      </w:r>
      <w:r>
        <w:rPr>
          <w:rFonts w:hint="cs"/>
          <w:sz w:val="22"/>
          <w:szCs w:val="22"/>
          <w:rtl/>
        </w:rPr>
        <w:tab/>
        <w:t>שם היישוב</w:t>
      </w:r>
    </w:p>
    <w:p w14:paraId="2C710246" w14:textId="77777777" w:rsidR="004361C8" w:rsidRDefault="004361C8">
      <w:pPr>
        <w:pStyle w:val="P00"/>
        <w:tabs>
          <w:tab w:val="clear" w:pos="624"/>
          <w:tab w:val="clear" w:pos="1021"/>
          <w:tab w:val="clear" w:pos="1474"/>
          <w:tab w:val="clear" w:pos="1928"/>
          <w:tab w:val="clear" w:pos="2381"/>
          <w:tab w:val="clear" w:pos="6259"/>
          <w:tab w:val="center" w:pos="2835"/>
          <w:tab w:val="center" w:pos="5670"/>
        </w:tabs>
        <w:spacing w:before="72"/>
        <w:ind w:left="624" w:right="1134"/>
        <w:rPr>
          <w:rFonts w:hint="cs"/>
          <w:rtl/>
        </w:rPr>
      </w:pPr>
      <w:r>
        <w:rPr>
          <w:rFonts w:hint="cs"/>
          <w:rtl/>
        </w:rPr>
        <w:tab/>
        <w:t>מטה אשר</w:t>
      </w:r>
      <w:r>
        <w:rPr>
          <w:rFonts w:hint="cs"/>
          <w:rtl/>
        </w:rPr>
        <w:tab/>
        <w:t>שבי ציון</w:t>
      </w:r>
    </w:p>
    <w:p w14:paraId="06710F66" w14:textId="77777777" w:rsidR="004361C8" w:rsidRDefault="004361C8">
      <w:pPr>
        <w:pStyle w:val="P00"/>
        <w:spacing w:before="72"/>
        <w:ind w:left="0" w:right="1134"/>
        <w:rPr>
          <w:rFonts w:hint="cs"/>
          <w:rtl/>
        </w:rPr>
      </w:pPr>
    </w:p>
    <w:p w14:paraId="3A6878F9" w14:textId="77777777" w:rsidR="004361C8" w:rsidRDefault="004361C8">
      <w:pPr>
        <w:pStyle w:val="P00"/>
        <w:spacing w:before="72"/>
        <w:ind w:left="0" w:right="1134"/>
        <w:rPr>
          <w:rFonts w:hint="cs"/>
          <w:rtl/>
        </w:rPr>
      </w:pPr>
      <w:r>
        <w:rPr>
          <w:rFonts w:hint="cs"/>
          <w:rtl/>
        </w:rPr>
        <w:tab/>
        <w:t>צו זה הוא נוסף על צו אשר נחתם על ידי ביום י"ג בסיון התשס"ה (20 ביוני 2005).</w:t>
      </w:r>
    </w:p>
    <w:p w14:paraId="54F5B5C8" w14:textId="77777777" w:rsidR="004361C8" w:rsidRDefault="004361C8">
      <w:pPr>
        <w:pStyle w:val="P00"/>
        <w:spacing w:before="72"/>
        <w:ind w:left="0" w:right="1134"/>
        <w:rPr>
          <w:rFonts w:hint="cs"/>
          <w:rtl/>
        </w:rPr>
      </w:pPr>
    </w:p>
    <w:p w14:paraId="714BA4E0" w14:textId="77777777" w:rsidR="004361C8" w:rsidRDefault="004361C8">
      <w:pPr>
        <w:pStyle w:val="P00"/>
        <w:spacing w:before="72"/>
        <w:ind w:left="0" w:right="1134"/>
        <w:rPr>
          <w:rFonts w:hint="cs"/>
          <w:rtl/>
        </w:rPr>
      </w:pPr>
    </w:p>
    <w:p w14:paraId="7E0122CD" w14:textId="77777777" w:rsidR="004361C8" w:rsidRDefault="004361C8">
      <w:pPr>
        <w:pStyle w:val="P00"/>
        <w:spacing w:before="72"/>
        <w:ind w:left="0" w:right="1134"/>
        <w:rPr>
          <w:rFonts w:hint="cs"/>
          <w:rtl/>
        </w:rPr>
      </w:pPr>
      <w:r>
        <w:rPr>
          <w:rFonts w:hint="cs"/>
          <w:rtl/>
        </w:rPr>
        <w:t>ו' בתמוז התשס"ה (13 ביולי 2005)</w:t>
      </w:r>
    </w:p>
    <w:p w14:paraId="0CA11560" w14:textId="77777777" w:rsidR="004361C8" w:rsidRDefault="004361C8">
      <w:pPr>
        <w:pStyle w:val="sig-0"/>
        <w:tabs>
          <w:tab w:val="clear" w:pos="4820"/>
          <w:tab w:val="center" w:pos="5670"/>
        </w:tabs>
        <w:ind w:left="0" w:right="1134"/>
        <w:rPr>
          <w:rtl/>
        </w:rPr>
      </w:pPr>
      <w:r>
        <w:rPr>
          <w:rFonts w:hint="cs"/>
          <w:rtl/>
        </w:rPr>
        <w:tab/>
        <w:t>גדעון עזרא</w:t>
      </w:r>
    </w:p>
    <w:p w14:paraId="1ABDC3F1" w14:textId="77777777" w:rsidR="004361C8" w:rsidRDefault="004361C8">
      <w:pPr>
        <w:pStyle w:val="sig-1"/>
        <w:widowControl/>
        <w:tabs>
          <w:tab w:val="clear" w:pos="851"/>
          <w:tab w:val="clear" w:pos="2835"/>
          <w:tab w:val="clear" w:pos="4820"/>
          <w:tab w:val="center" w:pos="5670"/>
        </w:tabs>
        <w:ind w:left="0" w:right="1134"/>
        <w:rPr>
          <w:rtl/>
        </w:rPr>
      </w:pPr>
      <w:r>
        <w:rPr>
          <w:rFonts w:hint="cs"/>
          <w:rtl/>
        </w:rPr>
        <w:tab/>
        <w:t>השר לביטחון הפנים</w:t>
      </w:r>
    </w:p>
    <w:p w14:paraId="7D12B3A3" w14:textId="77777777" w:rsidR="004361C8" w:rsidRDefault="004361C8">
      <w:pPr>
        <w:pStyle w:val="sig-1"/>
        <w:widowControl/>
        <w:ind w:left="0" w:right="1134"/>
        <w:rPr>
          <w:rtl/>
        </w:rPr>
      </w:pPr>
    </w:p>
    <w:sectPr w:rsidR="004361C8">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614F8" w14:textId="77777777" w:rsidR="00AB0F75" w:rsidRDefault="00AB0F75">
      <w:r>
        <w:separator/>
      </w:r>
    </w:p>
  </w:endnote>
  <w:endnote w:type="continuationSeparator" w:id="0">
    <w:p w14:paraId="21B002B5" w14:textId="77777777" w:rsidR="00AB0F75" w:rsidRDefault="00AB0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4EDDD" w14:textId="77777777" w:rsidR="004361C8" w:rsidRDefault="004361C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302600F1" w14:textId="77777777" w:rsidR="004361C8" w:rsidRDefault="004361C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CFEE63B" w14:textId="77777777" w:rsidR="004361C8" w:rsidRDefault="004361C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T:\00000000-law\yael\05-08-13\999_461.doc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8E56D" w14:textId="77777777" w:rsidR="004361C8" w:rsidRDefault="004361C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06BD7">
      <w:rPr>
        <w:rFonts w:hAnsi="FrankRuehl"/>
        <w:noProof/>
        <w:sz w:val="24"/>
        <w:szCs w:val="24"/>
        <w:rtl/>
      </w:rPr>
      <w:t>2</w:t>
    </w:r>
    <w:r>
      <w:rPr>
        <w:rFonts w:hAnsi="FrankRuehl"/>
        <w:sz w:val="24"/>
        <w:szCs w:val="24"/>
        <w:rtl/>
      </w:rPr>
      <w:fldChar w:fldCharType="end"/>
    </w:r>
  </w:p>
  <w:p w14:paraId="5C96721E" w14:textId="77777777" w:rsidR="004361C8" w:rsidRDefault="004361C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2A4DBD7" w14:textId="77777777" w:rsidR="004361C8" w:rsidRDefault="004361C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T:\00000000-law\yael\05-08-13\999_461.doc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C6B0A" w14:textId="77777777" w:rsidR="00AB0F75" w:rsidRDefault="00AB0F75">
      <w:r>
        <w:separator/>
      </w:r>
    </w:p>
  </w:footnote>
  <w:footnote w:type="continuationSeparator" w:id="0">
    <w:p w14:paraId="2FFF7A30" w14:textId="77777777" w:rsidR="00AB0F75" w:rsidRDefault="00AB0F75">
      <w:r>
        <w:continuationSeparator/>
      </w:r>
    </w:p>
  </w:footnote>
  <w:footnote w:id="1">
    <w:p w14:paraId="1A2CA539" w14:textId="77777777" w:rsidR="004361C8" w:rsidRDefault="004361C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פורסם </w:t>
      </w:r>
      <w:hyperlink r:id="rId1" w:history="1">
        <w:r>
          <w:rPr>
            <w:rStyle w:val="Hyperlink"/>
            <w:rFonts w:hint="cs"/>
            <w:sz w:val="20"/>
            <w:rtl/>
          </w:rPr>
          <w:t>ק"ת תשס"ה מס' 6405</w:t>
        </w:r>
      </w:hyperlink>
      <w:r>
        <w:rPr>
          <w:rFonts w:hint="cs"/>
          <w:sz w:val="20"/>
          <w:rtl/>
        </w:rPr>
        <w:t xml:space="preserve"> מיום 31.7.2005 עמ' 840.</w:t>
      </w:r>
    </w:p>
    <w:p w14:paraId="3DCB2A9D" w14:textId="77777777" w:rsidR="004361C8" w:rsidRDefault="004361C8">
      <w:pPr>
        <w:pStyle w:val="footnote"/>
        <w:tabs>
          <w:tab w:val="left" w:pos="624"/>
          <w:tab w:val="left" w:pos="1021"/>
          <w:tab w:val="left" w:pos="1474"/>
          <w:tab w:val="left" w:pos="1928"/>
          <w:tab w:val="left" w:pos="2381"/>
          <w:tab w:val="left" w:pos="2835"/>
          <w:tab w:val="right" w:leader="dot" w:pos="6259"/>
        </w:tabs>
        <w:bidi w:val="0"/>
        <w:spacing w:before="72"/>
        <w:ind w:left="0" w:right="1134"/>
        <w:rPr>
          <w:rFonts w:hint="cs"/>
          <w:sz w:val="20"/>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FA04" w14:textId="77777777" w:rsidR="004361C8" w:rsidRDefault="004361C8">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2855394E" w14:textId="77777777" w:rsidR="004361C8" w:rsidRDefault="004361C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884349C" w14:textId="77777777" w:rsidR="004361C8" w:rsidRDefault="004361C8">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90D9F" w14:textId="77777777" w:rsidR="004361C8" w:rsidRDefault="004361C8">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צו הרשויות המקומיות (הסדרת השמירה) (סמכויות שומרים) (מס' 2)</w:t>
    </w:r>
    <w:r>
      <w:rPr>
        <w:rFonts w:hAnsi="FrankRuehl"/>
        <w:color w:val="000000"/>
        <w:sz w:val="28"/>
        <w:szCs w:val="28"/>
        <w:rtl/>
      </w:rPr>
      <w:t>, תשס"</w:t>
    </w:r>
    <w:r>
      <w:rPr>
        <w:rFonts w:hAnsi="FrankRuehl" w:hint="cs"/>
        <w:color w:val="000000"/>
        <w:sz w:val="28"/>
        <w:szCs w:val="28"/>
        <w:rtl/>
      </w:rPr>
      <w:t>ה</w:t>
    </w:r>
    <w:r>
      <w:rPr>
        <w:rFonts w:hAnsi="FrankRuehl"/>
        <w:color w:val="000000"/>
        <w:sz w:val="28"/>
        <w:szCs w:val="28"/>
        <w:rtl/>
      </w:rPr>
      <w:t>-200</w:t>
    </w:r>
    <w:r>
      <w:rPr>
        <w:rFonts w:hAnsi="FrankRuehl" w:hint="cs"/>
        <w:color w:val="000000"/>
        <w:sz w:val="28"/>
        <w:szCs w:val="28"/>
        <w:rtl/>
      </w:rPr>
      <w:t>5</w:t>
    </w:r>
  </w:p>
  <w:p w14:paraId="0F2C72E4" w14:textId="77777777" w:rsidR="004361C8" w:rsidRDefault="004361C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7405E69" w14:textId="77777777" w:rsidR="004361C8" w:rsidRDefault="004361C8">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61C8"/>
    <w:rsid w:val="002534CF"/>
    <w:rsid w:val="004361C8"/>
    <w:rsid w:val="00706BD7"/>
    <w:rsid w:val="007E193B"/>
    <w:rsid w:val="008E10CC"/>
    <w:rsid w:val="00AB0F7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32D62B3"/>
  <w15:chartTrackingRefBased/>
  <w15:docId w15:val="{9F0DCAA1-3504-42D1-9A22-953A4762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4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957</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8323081</vt:i4>
      </vt:variant>
      <vt:variant>
        <vt:i4>0</vt:i4>
      </vt:variant>
      <vt:variant>
        <vt:i4>0</vt:i4>
      </vt:variant>
      <vt:variant>
        <vt:i4>5</vt:i4>
      </vt:variant>
      <vt:variant>
        <vt:lpwstr>http://www.nevo.co.il/Law_word/law06/tak-6405.pdf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 </dc:creator>
  <cp:keywords/>
  <dc:description/>
  <cp:lastModifiedBy>Shimon Doodkin</cp:lastModifiedBy>
  <cp:revision>2</cp:revision>
  <dcterms:created xsi:type="dcterms:W3CDTF">2023-06-05T19:18:00Z</dcterms:created>
  <dcterms:modified xsi:type="dcterms:W3CDTF">2023-06-05T19:18:00Z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ביטחון</vt:lpwstr>
  </property>
  <property fmtid="{D5CDD505-2E9C-101B-9397-08002B2CF9AE}" pid="4" name="LAWNAME">
    <vt:lpwstr>צו הרשויות המקומיות (הסדרת השמירה) (סמכויות שומרים) (מס' 2), תשס"ה-2005</vt:lpwstr>
  </property>
  <property fmtid="{D5CDD505-2E9C-101B-9397-08002B2CF9AE}" pid="5" name="LAWNUMBER">
    <vt:lpwstr>0461</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http://www.nevo.co.il/Law_word/law06/tak-6405.pdf;רשומות - תקנות כלליות# תשס"ה מס' 6405#מיום 31.7.2005#עמ' 840</vt:lpwstr>
  </property>
  <property fmtid="{D5CDD505-2E9C-101B-9397-08002B2CF9AE}" pid="22" name="MEKOR_NAME1">
    <vt:lpwstr>חוק הרשויות המקומיות (הסדרת השמירה)</vt:lpwstr>
  </property>
  <property fmtid="{D5CDD505-2E9C-101B-9397-08002B2CF9AE}" pid="23" name="MEKOR_SAIF1">
    <vt:lpwstr>6אXבX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