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D0B7" w14:textId="77777777" w:rsidR="00746B8C" w:rsidRDefault="00284783" w:rsidP="00A7514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הרשויות המקומיות (הקניית רכוש ציבורי) (הקניה לעיריית גבעת שמואל</w:t>
      </w:r>
      <w:r w:rsidR="00A7514A">
        <w:rPr>
          <w:rFonts w:hint="cs"/>
          <w:rtl/>
        </w:rPr>
        <w:t>)</w:t>
      </w:r>
      <w:r w:rsidR="00746B8C">
        <w:rPr>
          <w:rtl/>
        </w:rPr>
        <w:t xml:space="preserve">, </w:t>
      </w:r>
      <w:r w:rsidR="009B7765">
        <w:rPr>
          <w:rFonts w:hint="cs"/>
          <w:rtl/>
        </w:rPr>
        <w:t>תשע"</w:t>
      </w:r>
      <w:r w:rsidR="00A7514A">
        <w:rPr>
          <w:rFonts w:hint="cs"/>
          <w:rtl/>
        </w:rPr>
        <w:t>ד-2013</w:t>
      </w:r>
    </w:p>
    <w:p w14:paraId="5FCEB281" w14:textId="77777777" w:rsidR="00284783" w:rsidRPr="00284783" w:rsidRDefault="00284783" w:rsidP="00284783">
      <w:pPr>
        <w:spacing w:line="320" w:lineRule="auto"/>
        <w:jc w:val="left"/>
        <w:rPr>
          <w:rFonts w:cs="FrankRuehl"/>
          <w:szCs w:val="26"/>
          <w:rtl/>
        </w:rPr>
      </w:pPr>
    </w:p>
    <w:p w14:paraId="17A2D748" w14:textId="77777777" w:rsidR="00284783" w:rsidRDefault="00284783" w:rsidP="00284783">
      <w:pPr>
        <w:spacing w:line="320" w:lineRule="auto"/>
        <w:jc w:val="left"/>
        <w:rPr>
          <w:rtl/>
        </w:rPr>
      </w:pPr>
    </w:p>
    <w:p w14:paraId="5D29A585" w14:textId="77777777" w:rsidR="00284783" w:rsidRPr="00284783" w:rsidRDefault="00284783" w:rsidP="00284783">
      <w:pPr>
        <w:spacing w:line="320" w:lineRule="auto"/>
        <w:jc w:val="left"/>
        <w:rPr>
          <w:rFonts w:cs="Miriam" w:hint="cs"/>
          <w:szCs w:val="22"/>
          <w:rtl/>
        </w:rPr>
      </w:pPr>
      <w:r w:rsidRPr="00284783">
        <w:rPr>
          <w:rFonts w:cs="Miriam"/>
          <w:szCs w:val="22"/>
          <w:rtl/>
        </w:rPr>
        <w:t>רשויות ומשפט מנהלי</w:t>
      </w:r>
      <w:r w:rsidRPr="00284783">
        <w:rPr>
          <w:rFonts w:cs="FrankRuehl"/>
          <w:szCs w:val="26"/>
          <w:rtl/>
        </w:rPr>
        <w:t xml:space="preserve"> – רשויות מקומיות – הקניית רכוש ציבורי</w:t>
      </w:r>
    </w:p>
    <w:p w14:paraId="21BFBA48" w14:textId="77777777" w:rsidR="00746B8C" w:rsidRDefault="00746B8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D125B" w:rsidRPr="005D125B" w14:paraId="2701AAC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5A2343" w14:textId="77777777" w:rsidR="005D125B" w:rsidRPr="005D125B" w:rsidRDefault="005D125B" w:rsidP="005D12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07A9A4" w14:textId="77777777" w:rsidR="005D125B" w:rsidRPr="005D125B" w:rsidRDefault="005D125B" w:rsidP="005D12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הקניית נכסים</w:t>
            </w:r>
          </w:p>
        </w:tc>
        <w:tc>
          <w:tcPr>
            <w:tcW w:w="567" w:type="dxa"/>
          </w:tcPr>
          <w:p w14:paraId="7503CC6C" w14:textId="77777777" w:rsidR="005D125B" w:rsidRPr="005D125B" w:rsidRDefault="005D125B" w:rsidP="005D125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קניית נכסים" w:history="1">
              <w:r w:rsidRPr="005D12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C62EE4" w14:textId="77777777" w:rsidR="005D125B" w:rsidRPr="005D125B" w:rsidRDefault="005D125B" w:rsidP="005D125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6019F37" w14:textId="77777777" w:rsidR="00746B8C" w:rsidRDefault="00746B8C">
      <w:pPr>
        <w:pStyle w:val="big-header"/>
        <w:ind w:left="0" w:right="1134"/>
        <w:rPr>
          <w:rtl/>
        </w:rPr>
      </w:pPr>
    </w:p>
    <w:p w14:paraId="0745AB52" w14:textId="77777777" w:rsidR="00746B8C" w:rsidRDefault="00746B8C" w:rsidP="00284783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 w:rsidR="00284783">
        <w:rPr>
          <w:rFonts w:hint="cs"/>
          <w:rtl/>
        </w:rPr>
        <w:lastRenderedPageBreak/>
        <w:t>צו הרשויות המקומיות (הקניית רכוש ציבורי) (הקניה לעיריית גבעת שמואל)</w:t>
      </w:r>
      <w:r w:rsidR="00284783">
        <w:rPr>
          <w:rtl/>
        </w:rPr>
        <w:t xml:space="preserve">, </w:t>
      </w:r>
      <w:r w:rsidR="00284783">
        <w:rPr>
          <w:rFonts w:hint="cs"/>
          <w:rtl/>
        </w:rPr>
        <w:t>תשע"ד-2013</w:t>
      </w:r>
      <w:r>
        <w:rPr>
          <w:rStyle w:val="default"/>
          <w:rtl/>
        </w:rPr>
        <w:footnoteReference w:customMarkFollows="1" w:id="1"/>
        <w:t>*</w:t>
      </w:r>
    </w:p>
    <w:p w14:paraId="16CA0DF5" w14:textId="77777777" w:rsidR="00A7514A" w:rsidRDefault="0051570D" w:rsidP="00284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284783">
        <w:rPr>
          <w:rStyle w:val="default"/>
          <w:rFonts w:cs="FrankRuehl" w:hint="cs"/>
          <w:rtl/>
        </w:rPr>
        <w:t>סעיף 2(א)(1) ו-(2) לחוק הרשויות המקומיות (הקניית רכוש ציבורי), התשי"ח-1958, אני מצווה לאמור</w:t>
      </w:r>
      <w:r>
        <w:rPr>
          <w:rStyle w:val="default"/>
          <w:rFonts w:cs="FrankRuehl" w:hint="cs"/>
          <w:rtl/>
        </w:rPr>
        <w:t>:</w:t>
      </w:r>
    </w:p>
    <w:p w14:paraId="60862713" w14:textId="77777777" w:rsidR="00746B8C" w:rsidRDefault="00746B8C" w:rsidP="00284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85280F">
          <v:rect id="_x0000_s1026" style="position:absolute;left:0;text-align:left;margin-left:464.5pt;margin-top:8.05pt;width:75.05pt;height:11.2pt;z-index:251657728" o:allowincell="f" filled="f" stroked="f" strokecolor="lime" strokeweight=".25pt">
            <v:textbox inset="0,0,0,0">
              <w:txbxContent>
                <w:p w14:paraId="6F8FCCB8" w14:textId="77777777" w:rsidR="00746B8C" w:rsidRDefault="0028478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הקניית 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284783">
        <w:rPr>
          <w:rStyle w:val="default"/>
          <w:rFonts w:cs="FrankRuehl" w:hint="cs"/>
          <w:rtl/>
        </w:rPr>
        <w:t>המקרקעין המפורטים להלן מוקנים בזאת לעיריית גבעת שמואל:</w:t>
      </w:r>
    </w:p>
    <w:p w14:paraId="1595F127" w14:textId="77777777" w:rsidR="00284783" w:rsidRPr="00284783" w:rsidRDefault="00284783" w:rsidP="00FF206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center" w:pos="4933"/>
          <w:tab w:val="center" w:pos="6804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284783">
        <w:rPr>
          <w:rStyle w:val="default"/>
          <w:rFonts w:cs="FrankRuehl" w:hint="cs"/>
          <w:sz w:val="22"/>
          <w:szCs w:val="22"/>
          <w:rtl/>
        </w:rPr>
        <w:tab/>
        <w:t>גוש</w:t>
      </w:r>
      <w:r w:rsidRPr="00284783">
        <w:rPr>
          <w:rStyle w:val="default"/>
          <w:rFonts w:cs="FrankRuehl" w:hint="cs"/>
          <w:sz w:val="22"/>
          <w:szCs w:val="22"/>
          <w:rtl/>
        </w:rPr>
        <w:tab/>
        <w:t>חלקה</w:t>
      </w:r>
      <w:r w:rsidRPr="00284783">
        <w:rPr>
          <w:rStyle w:val="default"/>
          <w:rFonts w:cs="FrankRuehl" w:hint="cs"/>
          <w:sz w:val="22"/>
          <w:szCs w:val="22"/>
          <w:rtl/>
        </w:rPr>
        <w:tab/>
        <w:t>שטח רשום במ"ר</w:t>
      </w:r>
      <w:r w:rsidRPr="00284783">
        <w:rPr>
          <w:rStyle w:val="default"/>
          <w:rFonts w:cs="FrankRuehl" w:hint="cs"/>
          <w:sz w:val="22"/>
          <w:szCs w:val="22"/>
          <w:rtl/>
        </w:rPr>
        <w:tab/>
        <w:t>סוג המקרקעין</w:t>
      </w:r>
      <w:r w:rsidRPr="00284783">
        <w:rPr>
          <w:rStyle w:val="default"/>
          <w:rFonts w:cs="FrankRuehl" w:hint="cs"/>
          <w:sz w:val="22"/>
          <w:szCs w:val="22"/>
          <w:rtl/>
        </w:rPr>
        <w:tab/>
        <w:t>רשומה על-שם</w:t>
      </w:r>
    </w:p>
    <w:p w14:paraId="34511233" w14:textId="77777777" w:rsidR="00284783" w:rsidRDefault="0028478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6189</w:t>
      </w:r>
      <w:r>
        <w:rPr>
          <w:rStyle w:val="default"/>
          <w:rFonts w:cs="FrankRuehl" w:hint="cs"/>
          <w:rtl/>
        </w:rPr>
        <w:tab/>
        <w:t>459</w:t>
      </w:r>
      <w:r>
        <w:rPr>
          <w:rStyle w:val="default"/>
          <w:rFonts w:cs="FrankRuehl" w:hint="cs"/>
          <w:rtl/>
        </w:rPr>
        <w:tab/>
        <w:t>2,834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בני ברק</w:t>
      </w:r>
    </w:p>
    <w:p w14:paraId="25340EBD" w14:textId="77777777" w:rsidR="00284783" w:rsidRDefault="0028478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6368</w:t>
      </w:r>
      <w:r>
        <w:rPr>
          <w:rStyle w:val="default"/>
          <w:rFonts w:cs="FrankRuehl" w:hint="cs"/>
          <w:rtl/>
        </w:rPr>
        <w:tab/>
        <w:t>152</w:t>
      </w:r>
      <w:r>
        <w:rPr>
          <w:rStyle w:val="default"/>
          <w:rFonts w:cs="FrankRuehl" w:hint="cs"/>
          <w:rtl/>
        </w:rPr>
        <w:tab/>
        <w:t>360</w:t>
      </w:r>
      <w:r>
        <w:rPr>
          <w:rStyle w:val="default"/>
          <w:rFonts w:cs="FrankRuehl" w:hint="cs"/>
          <w:rtl/>
        </w:rPr>
        <w:tab/>
        <w:t>מירי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592624D4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6368</w:t>
      </w:r>
      <w:r>
        <w:rPr>
          <w:rStyle w:val="default"/>
          <w:rFonts w:cs="FrankRuehl" w:hint="cs"/>
          <w:rtl/>
        </w:rPr>
        <w:tab/>
        <w:t>153</w:t>
      </w:r>
      <w:r>
        <w:rPr>
          <w:rStyle w:val="default"/>
          <w:rFonts w:cs="FrankRuehl" w:hint="cs"/>
          <w:rtl/>
        </w:rPr>
        <w:tab/>
        <w:t>362</w:t>
      </w:r>
      <w:r>
        <w:rPr>
          <w:rStyle w:val="default"/>
          <w:rFonts w:cs="FrankRuehl" w:hint="cs"/>
          <w:rtl/>
        </w:rPr>
        <w:tab/>
        <w:t>מירי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275FAD63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6368</w:t>
      </w:r>
      <w:r>
        <w:rPr>
          <w:rStyle w:val="default"/>
          <w:rFonts w:cs="FrankRuehl" w:hint="cs"/>
          <w:rtl/>
        </w:rPr>
        <w:tab/>
        <w:t>158</w:t>
      </w:r>
      <w:r>
        <w:rPr>
          <w:rStyle w:val="default"/>
          <w:rFonts w:cs="FrankRuehl" w:hint="cs"/>
          <w:rtl/>
        </w:rPr>
        <w:tab/>
        <w:t>107</w:t>
      </w:r>
      <w:r>
        <w:rPr>
          <w:rStyle w:val="default"/>
          <w:rFonts w:cs="FrankRuehl" w:hint="cs"/>
          <w:rtl/>
        </w:rPr>
        <w:tab/>
        <w:t>מירי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1C8B76AC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6368</w:t>
      </w:r>
      <w:r>
        <w:rPr>
          <w:rStyle w:val="default"/>
          <w:rFonts w:cs="FrankRuehl" w:hint="cs"/>
          <w:rtl/>
        </w:rPr>
        <w:tab/>
        <w:t>159</w:t>
      </w:r>
      <w:r>
        <w:rPr>
          <w:rStyle w:val="default"/>
          <w:rFonts w:cs="FrankRuehl" w:hint="cs"/>
          <w:rtl/>
        </w:rPr>
        <w:tab/>
        <w:t>185</w:t>
      </w:r>
      <w:r>
        <w:rPr>
          <w:rStyle w:val="default"/>
          <w:rFonts w:cs="FrankRuehl" w:hint="cs"/>
          <w:rtl/>
        </w:rPr>
        <w:tab/>
        <w:t>מירי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2D5477CE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6368</w:t>
      </w:r>
      <w:r>
        <w:rPr>
          <w:rStyle w:val="default"/>
          <w:rFonts w:cs="FrankRuehl" w:hint="cs"/>
          <w:rtl/>
        </w:rPr>
        <w:tab/>
        <w:t>160</w:t>
      </w:r>
      <w:r>
        <w:rPr>
          <w:rStyle w:val="default"/>
          <w:rFonts w:cs="FrankRuehl" w:hint="cs"/>
          <w:rtl/>
        </w:rPr>
        <w:tab/>
        <w:t>1,917</w:t>
      </w:r>
      <w:r>
        <w:rPr>
          <w:rStyle w:val="default"/>
          <w:rFonts w:cs="FrankRuehl" w:hint="cs"/>
          <w:rtl/>
        </w:rPr>
        <w:tab/>
        <w:t>מירי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1C84F314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6369</w:t>
      </w:r>
      <w:r>
        <w:rPr>
          <w:rStyle w:val="default"/>
          <w:rFonts w:cs="FrankRuehl" w:hint="cs"/>
          <w:rtl/>
        </w:rPr>
        <w:tab/>
        <w:t>9</w:t>
      </w:r>
      <w:r>
        <w:rPr>
          <w:rStyle w:val="default"/>
          <w:rFonts w:cs="FrankRuehl" w:hint="cs"/>
          <w:rtl/>
        </w:rPr>
        <w:tab/>
        <w:t>5,146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336E068E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6369</w:t>
      </w:r>
      <w:r>
        <w:rPr>
          <w:rStyle w:val="default"/>
          <w:rFonts w:cs="FrankRuehl" w:hint="cs"/>
          <w:rtl/>
        </w:rPr>
        <w:tab/>
        <w:t>17</w:t>
      </w:r>
      <w:r>
        <w:rPr>
          <w:rStyle w:val="default"/>
          <w:rFonts w:cs="FrankRuehl" w:hint="cs"/>
          <w:rtl/>
        </w:rPr>
        <w:tab/>
        <w:t>2,490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1EFE4995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6369</w:t>
      </w: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  <w:t>3,696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1C59A45C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6369</w:t>
      </w:r>
      <w:r>
        <w:rPr>
          <w:rStyle w:val="default"/>
          <w:rFonts w:cs="FrankRuehl" w:hint="cs"/>
          <w:rtl/>
        </w:rPr>
        <w:tab/>
        <w:t>21</w:t>
      </w:r>
      <w:r>
        <w:rPr>
          <w:rStyle w:val="default"/>
          <w:rFonts w:cs="FrankRuehl" w:hint="cs"/>
          <w:rtl/>
        </w:rPr>
        <w:tab/>
        <w:t>3,100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36031EFC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6392</w:t>
      </w:r>
      <w:r>
        <w:rPr>
          <w:rStyle w:val="default"/>
          <w:rFonts w:cs="FrankRuehl" w:hint="cs"/>
          <w:rtl/>
        </w:rPr>
        <w:tab/>
        <w:t>23</w:t>
      </w:r>
      <w:r>
        <w:rPr>
          <w:rStyle w:val="default"/>
          <w:rFonts w:cs="FrankRuehl" w:hint="cs"/>
          <w:rtl/>
        </w:rPr>
        <w:tab/>
        <w:t>4,243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30C880EA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6392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4,664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170662E8" w14:textId="77777777" w:rsidR="00773003" w:rsidRDefault="00773003" w:rsidP="00FF20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268"/>
          <w:tab w:val="center" w:pos="3402"/>
          <w:tab w:val="left" w:pos="4536"/>
          <w:tab w:val="left" w:pos="595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6392</w:t>
      </w:r>
      <w:r>
        <w:rPr>
          <w:rStyle w:val="default"/>
          <w:rFonts w:cs="FrankRuehl" w:hint="cs"/>
          <w:rtl/>
        </w:rPr>
        <w:tab/>
        <w:t>26</w:t>
      </w:r>
      <w:r>
        <w:rPr>
          <w:rStyle w:val="default"/>
          <w:rFonts w:cs="FrankRuehl" w:hint="cs"/>
          <w:rtl/>
        </w:rPr>
        <w:tab/>
        <w:t>4,199</w:t>
      </w:r>
      <w:r>
        <w:rPr>
          <w:rStyle w:val="default"/>
          <w:rFonts w:cs="FrankRuehl" w:hint="cs"/>
          <w:rtl/>
        </w:rPr>
        <w:tab/>
        <w:t>מתרוכה</w:t>
      </w:r>
      <w:r>
        <w:rPr>
          <w:rStyle w:val="default"/>
          <w:rFonts w:cs="FrankRuehl" w:hint="cs"/>
          <w:rtl/>
        </w:rPr>
        <w:tab/>
        <w:t>עיריית פתח תקווה</w:t>
      </w:r>
    </w:p>
    <w:p w14:paraId="6B0D2636" w14:textId="77777777" w:rsidR="00284783" w:rsidRDefault="002847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7FCDD7" w14:textId="77777777" w:rsidR="00746B8C" w:rsidRDefault="00746B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08A46C" w14:textId="77777777" w:rsidR="00D45CD0" w:rsidRDefault="00EE0E8C" w:rsidP="00773003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>ט</w:t>
      </w:r>
      <w:r w:rsidR="00773003">
        <w:rPr>
          <w:rFonts w:hint="cs"/>
          <w:rtl/>
        </w:rPr>
        <w:t>'</w:t>
      </w:r>
      <w:r>
        <w:rPr>
          <w:rFonts w:hint="cs"/>
          <w:rtl/>
        </w:rPr>
        <w:t xml:space="preserve"> בחשוון התשע"ד (</w:t>
      </w:r>
      <w:r w:rsidR="00773003">
        <w:rPr>
          <w:rFonts w:hint="cs"/>
          <w:rtl/>
        </w:rPr>
        <w:t>13</w:t>
      </w:r>
      <w:r>
        <w:rPr>
          <w:rFonts w:hint="cs"/>
          <w:rtl/>
        </w:rPr>
        <w:t xml:space="preserve"> באוקטובר 2013)</w:t>
      </w:r>
      <w:r w:rsidR="00D45CD0">
        <w:rPr>
          <w:rFonts w:hint="cs"/>
          <w:rtl/>
        </w:rPr>
        <w:tab/>
      </w:r>
      <w:r w:rsidR="00773003">
        <w:rPr>
          <w:rFonts w:hint="cs"/>
          <w:rtl/>
        </w:rPr>
        <w:t>גדעון סער</w:t>
      </w:r>
    </w:p>
    <w:p w14:paraId="62988BB0" w14:textId="77777777" w:rsidR="00D45CD0" w:rsidRDefault="00D45CD0" w:rsidP="0077300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73003">
        <w:rPr>
          <w:rFonts w:hint="cs"/>
          <w:rtl/>
        </w:rPr>
        <w:t>הפנים</w:t>
      </w:r>
    </w:p>
    <w:p w14:paraId="1133D195" w14:textId="77777777" w:rsidR="00284783" w:rsidRPr="00D51AB4" w:rsidRDefault="00284783" w:rsidP="00D51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FBF129" w14:textId="77777777" w:rsidR="00746B8C" w:rsidRPr="00D51AB4" w:rsidRDefault="00746B8C" w:rsidP="00D51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5F75EE" w14:textId="77777777" w:rsidR="00746B8C" w:rsidRPr="00D51AB4" w:rsidRDefault="00746B8C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83C0299" w14:textId="77777777" w:rsidR="005D125B" w:rsidRDefault="005D125B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3CB14D" w14:textId="77777777" w:rsidR="005D125B" w:rsidRDefault="005D125B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6AAB6C" w14:textId="77777777" w:rsidR="005D125B" w:rsidRDefault="005D125B" w:rsidP="005D12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3EF68C" w14:textId="77777777" w:rsidR="00851539" w:rsidRPr="005D125B" w:rsidRDefault="00851539" w:rsidP="005D12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51539" w:rsidRPr="005D125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370C" w14:textId="77777777" w:rsidR="004E2CAE" w:rsidRDefault="004E2CAE">
      <w:r>
        <w:separator/>
      </w:r>
    </w:p>
  </w:endnote>
  <w:endnote w:type="continuationSeparator" w:id="0">
    <w:p w14:paraId="530EBE44" w14:textId="77777777" w:rsidR="004E2CAE" w:rsidRDefault="004E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BC2D" w14:textId="77777777" w:rsidR="00746B8C" w:rsidRDefault="00746B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3CEA1B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EDED0B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125B">
      <w:rPr>
        <w:rFonts w:cs="TopType Jerushalmi"/>
        <w:noProof/>
        <w:color w:val="000000"/>
        <w:sz w:val="14"/>
        <w:szCs w:val="14"/>
      </w:rPr>
      <w:t>Z:\000-law\yael\2013\2013-11-24\500_949.doc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C456" w14:textId="77777777" w:rsidR="00746B8C" w:rsidRDefault="00746B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12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150071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BEC9CB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125B">
      <w:rPr>
        <w:rFonts w:cs="TopType Jerushalmi"/>
        <w:noProof/>
        <w:color w:val="000000"/>
        <w:sz w:val="14"/>
        <w:szCs w:val="14"/>
      </w:rPr>
      <w:t>Z:\000-law\yael\2013\2013-11-24\500_949.doc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AC91" w14:textId="77777777" w:rsidR="004E2CAE" w:rsidRDefault="004E2CAE" w:rsidP="00D51A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CEA295" w14:textId="77777777" w:rsidR="004E2CAE" w:rsidRDefault="004E2CAE">
      <w:r>
        <w:continuationSeparator/>
      </w:r>
    </w:p>
  </w:footnote>
  <w:footnote w:id="1">
    <w:p w14:paraId="36590A90" w14:textId="77777777" w:rsidR="00702E91" w:rsidRDefault="00746B8C" w:rsidP="00702E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</w:t>
      </w:r>
      <w:r w:rsidR="00284783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="00A7514A" w:rsidRPr="00702E91">
          <w:rPr>
            <w:rStyle w:val="Hyperlink"/>
            <w:rFonts w:hint="cs"/>
            <w:sz w:val="20"/>
            <w:rtl/>
          </w:rPr>
          <w:t>ק"ת</w:t>
        </w:r>
        <w:r w:rsidRPr="00702E91">
          <w:rPr>
            <w:rStyle w:val="Hyperlink"/>
            <w:rFonts w:hint="cs"/>
            <w:sz w:val="20"/>
            <w:rtl/>
          </w:rPr>
          <w:t xml:space="preserve"> תש</w:t>
        </w:r>
        <w:r w:rsidR="009B7765" w:rsidRPr="00702E91">
          <w:rPr>
            <w:rStyle w:val="Hyperlink"/>
            <w:rFonts w:hint="cs"/>
            <w:sz w:val="20"/>
            <w:rtl/>
          </w:rPr>
          <w:t>ע"</w:t>
        </w:r>
        <w:r w:rsidR="00A7514A" w:rsidRPr="00702E91">
          <w:rPr>
            <w:rStyle w:val="Hyperlink"/>
            <w:rFonts w:hint="cs"/>
            <w:sz w:val="20"/>
            <w:rtl/>
          </w:rPr>
          <w:t>ד</w:t>
        </w:r>
        <w:r w:rsidRPr="00702E91">
          <w:rPr>
            <w:rStyle w:val="Hyperlink"/>
            <w:rFonts w:hint="cs"/>
            <w:sz w:val="20"/>
            <w:rtl/>
          </w:rPr>
          <w:t xml:space="preserve"> מס' </w:t>
        </w:r>
        <w:r w:rsidR="00A7514A" w:rsidRPr="00702E91">
          <w:rPr>
            <w:rStyle w:val="Hyperlink"/>
            <w:rFonts w:hint="cs"/>
            <w:sz w:val="20"/>
            <w:rtl/>
          </w:rPr>
          <w:t>7307</w:t>
        </w:r>
      </w:hyperlink>
      <w:r>
        <w:rPr>
          <w:rFonts w:hint="cs"/>
          <w:sz w:val="20"/>
          <w:rtl/>
        </w:rPr>
        <w:t xml:space="preserve"> מיום </w:t>
      </w:r>
      <w:r w:rsidR="00A7514A">
        <w:rPr>
          <w:rFonts w:hint="cs"/>
          <w:sz w:val="20"/>
          <w:rtl/>
        </w:rPr>
        <w:t>21.11.2013</w:t>
      </w:r>
      <w:r>
        <w:rPr>
          <w:rFonts w:hint="cs"/>
          <w:sz w:val="20"/>
          <w:rtl/>
        </w:rPr>
        <w:t xml:space="preserve"> עמ' </w:t>
      </w:r>
      <w:r w:rsidR="00A7514A">
        <w:rPr>
          <w:rFonts w:hint="cs"/>
          <w:sz w:val="20"/>
          <w:rtl/>
        </w:rPr>
        <w:t>26</w:t>
      </w:r>
      <w:r w:rsidR="00284783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E613" w14:textId="77777777" w:rsidR="00746B8C" w:rsidRDefault="00746B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(קביעת תארים אחרים של פרקליטים מפרקליטות המדינה), תשס"א–2000</w:t>
    </w:r>
  </w:p>
  <w:p w14:paraId="744E4888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417D3E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4437" w14:textId="77777777" w:rsidR="00746B8C" w:rsidRDefault="00F879BE" w:rsidP="00A7514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הרשויות המקומיות (הקניית רכוש ציבורי) (הקניה לעיריית גבעת שמואל)</w:t>
    </w:r>
    <w:r w:rsidR="00746B8C"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br/>
    </w:r>
    <w:r w:rsidR="009B7765">
      <w:rPr>
        <w:rFonts w:hAnsi="FrankRuehl" w:cs="FrankRuehl" w:hint="cs"/>
        <w:color w:val="000000"/>
        <w:sz w:val="28"/>
        <w:szCs w:val="28"/>
        <w:rtl/>
      </w:rPr>
      <w:t>תשע"</w:t>
    </w:r>
    <w:r w:rsidR="00A7514A">
      <w:rPr>
        <w:rFonts w:hAnsi="FrankRuehl" w:cs="FrankRuehl" w:hint="cs"/>
        <w:color w:val="000000"/>
        <w:sz w:val="28"/>
        <w:szCs w:val="28"/>
        <w:rtl/>
      </w:rPr>
      <w:t>ד-2013</w:t>
    </w:r>
  </w:p>
  <w:p w14:paraId="64EACDD7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E7A579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741D"/>
    <w:rsid w:val="000318CF"/>
    <w:rsid w:val="00284783"/>
    <w:rsid w:val="002B6F4C"/>
    <w:rsid w:val="002F4028"/>
    <w:rsid w:val="00443316"/>
    <w:rsid w:val="004B3CFB"/>
    <w:rsid w:val="004D270C"/>
    <w:rsid w:val="004E2CAE"/>
    <w:rsid w:val="004E7E56"/>
    <w:rsid w:val="005076DE"/>
    <w:rsid w:val="0051570D"/>
    <w:rsid w:val="0054741D"/>
    <w:rsid w:val="00561E82"/>
    <w:rsid w:val="005D125B"/>
    <w:rsid w:val="00650EEE"/>
    <w:rsid w:val="006B611D"/>
    <w:rsid w:val="00702E91"/>
    <w:rsid w:val="00746B8C"/>
    <w:rsid w:val="007645B3"/>
    <w:rsid w:val="00773003"/>
    <w:rsid w:val="007C5F81"/>
    <w:rsid w:val="00846EDA"/>
    <w:rsid w:val="00851539"/>
    <w:rsid w:val="008E5DCF"/>
    <w:rsid w:val="008F46F2"/>
    <w:rsid w:val="009B7310"/>
    <w:rsid w:val="009B7765"/>
    <w:rsid w:val="009C2675"/>
    <w:rsid w:val="00A67E27"/>
    <w:rsid w:val="00A7514A"/>
    <w:rsid w:val="00B43FDF"/>
    <w:rsid w:val="00C743BA"/>
    <w:rsid w:val="00D45CD0"/>
    <w:rsid w:val="00D51AB4"/>
    <w:rsid w:val="00EE0E8C"/>
    <w:rsid w:val="00F53C01"/>
    <w:rsid w:val="00F70C0C"/>
    <w:rsid w:val="00F879BE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6C57F6"/>
  <w15:chartTrackingRefBased/>
  <w15:docId w15:val="{4F4E177D-F1E3-4408-B8F5-3F71A54F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1240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רשויות מקומיות</vt:lpwstr>
  </property>
  <property fmtid="{D5CDD505-2E9C-101B-9397-08002B2CF9AE}" pid="4" name="LAWNAME">
    <vt:lpwstr>צו הרשויות המקומיות (הקניית רכוש ציבורי) (הקניה לעיריית גבעת שמואל), תשע"ד-2013</vt:lpwstr>
  </property>
  <property fmtid="{D5CDD505-2E9C-101B-9397-08002B2CF9AE}" pid="5" name="LAWNUMBER">
    <vt:lpwstr>0949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הקניית רכוש ציבורי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SAMCHUT">
    <vt:lpwstr/>
  </property>
  <property fmtid="{D5CDD505-2E9C-101B-9397-08002B2CF9AE}" pid="62" name="MEKOR_NAME1">
    <vt:lpwstr>חוק הרשויות המקומיות (הקניית רכוש ציבורי)</vt:lpwstr>
  </property>
  <property fmtid="{D5CDD505-2E9C-101B-9397-08002B2CF9AE}" pid="63" name="MEKOR_SAIF1">
    <vt:lpwstr>2XאX1X;2XאX2X</vt:lpwstr>
  </property>
  <property fmtid="{D5CDD505-2E9C-101B-9397-08002B2CF9AE}" pid="64" name="LINKK1">
    <vt:lpwstr>http://www.nevo.co.il/Law_word/law06/TAK-7307.pdf;‎רשומות - תקנות כלליות#פורסם ק"ת תשע"ד ‏מס' 7307 #מיום 21.11.2013 עמ' 263‏</vt:lpwstr>
  </property>
</Properties>
</file>