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B854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1C3B51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E20C96">
        <w:rPr>
          <w:rFonts w:hint="cs"/>
          <w:rtl/>
          <w:lang w:eastAsia="en-US"/>
        </w:rPr>
        <w:t>תשפ"א-2021</w:t>
      </w:r>
    </w:p>
    <w:p w14:paraId="1DDD1E6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6E3E527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FDAE88E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C184BD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B21DF5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48E3" w:rsidRPr="00D348E3" w14:paraId="3BA81208" w14:textId="77777777" w:rsidTr="00D348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8269B7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F1E9282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הארכת תוקף ההכרזה</w:t>
            </w:r>
          </w:p>
        </w:tc>
        <w:tc>
          <w:tcPr>
            <w:tcW w:w="567" w:type="dxa"/>
          </w:tcPr>
          <w:p w14:paraId="12E756FA" w14:textId="77777777" w:rsidR="00D348E3" w:rsidRPr="00D348E3" w:rsidRDefault="00D348E3" w:rsidP="00D348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ארכת תוקף ההכרזה" w:history="1">
              <w:r w:rsidRPr="00D348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006ED0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348E3" w:rsidRPr="00D348E3" w14:paraId="6424451A" w14:textId="77777777" w:rsidTr="00D348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C88909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D3DE6B9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AC939D9" w14:textId="77777777" w:rsidR="00D348E3" w:rsidRPr="00D348E3" w:rsidRDefault="00D348E3" w:rsidP="00D348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D348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BD103A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348E3" w:rsidRPr="00D348E3" w14:paraId="6CE72CEF" w14:textId="77777777" w:rsidTr="00D348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7BF3F3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44A94A2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C34DF25" w14:textId="77777777" w:rsidR="00D348E3" w:rsidRPr="00D348E3" w:rsidRDefault="00D348E3" w:rsidP="00D348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D348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61758B" w14:textId="77777777" w:rsidR="00D348E3" w:rsidRPr="00D348E3" w:rsidRDefault="00D348E3" w:rsidP="00D348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BB3CC0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BA7F90C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1C3B51">
        <w:rPr>
          <w:rFonts w:hint="cs"/>
          <w:rtl/>
          <w:lang w:eastAsia="en-US"/>
        </w:rPr>
        <w:t>הארכת</w:t>
      </w:r>
      <w:r w:rsidR="003E084E">
        <w:rPr>
          <w:rFonts w:hint="cs"/>
          <w:rtl/>
          <w:lang w:eastAsia="en-US"/>
        </w:rPr>
        <w:t xml:space="preserve"> תוקף הכרזה על מתחם לפינוי לשם בינוי לתקופה שלישית במסלול רשויות מקומיות) (הוראת שעה), </w:t>
      </w:r>
      <w:r w:rsidR="001C3B51">
        <w:rPr>
          <w:rFonts w:hint="cs"/>
          <w:rtl/>
          <w:lang w:eastAsia="en-US"/>
        </w:rPr>
        <w:t>ת</w:t>
      </w:r>
      <w:r w:rsidR="00E20C96">
        <w:rPr>
          <w:rFonts w:hint="cs"/>
          <w:rtl/>
          <w:lang w:eastAsia="en-US"/>
        </w:rPr>
        <w:t>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60A119C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</w:t>
      </w:r>
      <w:r w:rsidR="001C3B51">
        <w:rPr>
          <w:rStyle w:val="default"/>
          <w:rFonts w:cs="FrankRuehl" w:hint="cs"/>
          <w:rtl/>
          <w:lang w:eastAsia="en-US"/>
        </w:rPr>
        <w:t>1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</w:t>
      </w:r>
      <w:r w:rsidR="001C3B51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B5255C1" w14:textId="77777777" w:rsidR="00632283" w:rsidRDefault="00754AF6" w:rsidP="001C3B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1A35367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431AB285" w14:textId="77777777" w:rsidR="00754AF6" w:rsidRDefault="001C3B51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הארכת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1C3B51">
        <w:rPr>
          <w:rStyle w:val="default"/>
          <w:rFonts w:cs="FrankRuehl" w:hint="cs"/>
          <w:rtl/>
          <w:lang w:eastAsia="en-US"/>
        </w:rPr>
        <w:t xml:space="preserve">מוארך </w:t>
      </w:r>
      <w:r w:rsidR="00990C50">
        <w:rPr>
          <w:rStyle w:val="default"/>
          <w:rFonts w:cs="FrankRuehl" w:hint="cs"/>
          <w:rtl/>
          <w:lang w:eastAsia="en-US"/>
        </w:rPr>
        <w:t xml:space="preserve">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  <w:r w:rsidR="001C3B51">
        <w:rPr>
          <w:rStyle w:val="default"/>
          <w:rFonts w:cs="FrankRuehl" w:hint="cs"/>
          <w:rtl/>
          <w:lang w:eastAsia="en-US"/>
        </w:rPr>
        <w:t xml:space="preserve"> רמת השרון </w:t>
      </w:r>
      <w:r w:rsidR="001C3B51">
        <w:rPr>
          <w:rStyle w:val="default"/>
          <w:rFonts w:cs="FrankRuehl"/>
          <w:rtl/>
          <w:lang w:eastAsia="en-US"/>
        </w:rPr>
        <w:t>–</w:t>
      </w:r>
      <w:r w:rsidR="001C3B51">
        <w:rPr>
          <w:rStyle w:val="default"/>
          <w:rFonts w:cs="FrankRuehl" w:hint="cs"/>
          <w:rtl/>
          <w:lang w:eastAsia="en-US"/>
        </w:rPr>
        <w:t xml:space="preserve"> יוספטל מזרח</w:t>
      </w:r>
      <w:r w:rsidR="001C3B51">
        <w:rPr>
          <w:rStyle w:val="a6"/>
          <w:rtl/>
          <w:lang w:eastAsia="en-US"/>
        </w:rPr>
        <w:footnoteReference w:id="2"/>
      </w:r>
      <w:r w:rsidR="00632283">
        <w:rPr>
          <w:rStyle w:val="default"/>
          <w:rFonts w:cs="FrankRuehl" w:hint="cs"/>
          <w:rtl/>
          <w:lang w:eastAsia="en-US"/>
        </w:rPr>
        <w:t>.</w:t>
      </w:r>
    </w:p>
    <w:p w14:paraId="60B09CE9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1C3710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60B65B8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791EE5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728081A4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1D3245B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740CB434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791EE5">
        <w:rPr>
          <w:rStyle w:val="default"/>
          <w:rFonts w:cs="FrankRuehl" w:hint="cs"/>
          <w:rtl/>
          <w:lang w:eastAsia="en-US"/>
        </w:rPr>
        <w:t>ח</w:t>
      </w:r>
      <w:r w:rsidR="00E20C96">
        <w:rPr>
          <w:rStyle w:val="default"/>
          <w:rFonts w:cs="FrankRuehl" w:hint="cs"/>
          <w:rtl/>
          <w:lang w:eastAsia="en-US"/>
        </w:rPr>
        <w:t>' בטבת התשפ"</w:t>
      </w:r>
      <w:r w:rsidR="00791EE5">
        <w:rPr>
          <w:rStyle w:val="default"/>
          <w:rFonts w:cs="FrankRuehl" w:hint="cs"/>
          <w:rtl/>
          <w:lang w:eastAsia="en-US"/>
        </w:rPr>
        <w:t>ב</w:t>
      </w:r>
      <w:r w:rsidR="00E20C96">
        <w:rPr>
          <w:rStyle w:val="default"/>
          <w:rFonts w:cs="FrankRuehl" w:hint="cs"/>
          <w:rtl/>
          <w:lang w:eastAsia="en-US"/>
        </w:rPr>
        <w:t xml:space="preserve"> (1</w:t>
      </w:r>
      <w:r w:rsidR="00791EE5">
        <w:rPr>
          <w:rStyle w:val="default"/>
          <w:rFonts w:cs="FrankRuehl" w:hint="cs"/>
          <w:rtl/>
          <w:lang w:eastAsia="en-US"/>
        </w:rPr>
        <w:t>2</w:t>
      </w:r>
      <w:r w:rsidR="00E20C96">
        <w:rPr>
          <w:rStyle w:val="default"/>
          <w:rFonts w:cs="FrankRuehl" w:hint="cs"/>
          <w:rtl/>
          <w:lang w:eastAsia="en-US"/>
        </w:rPr>
        <w:t xml:space="preserve"> בדצמבר 202</w:t>
      </w:r>
      <w:r w:rsidR="00791EE5">
        <w:rPr>
          <w:rStyle w:val="default"/>
          <w:rFonts w:cs="FrankRuehl" w:hint="cs"/>
          <w:rtl/>
          <w:lang w:eastAsia="en-US"/>
        </w:rPr>
        <w:t>1</w:t>
      </w:r>
      <w:r w:rsidR="008F56F9">
        <w:rPr>
          <w:rStyle w:val="default"/>
          <w:rFonts w:cs="FrankRuehl" w:hint="cs"/>
          <w:rtl/>
          <w:lang w:eastAsia="en-US"/>
        </w:rPr>
        <w:t>)</w:t>
      </w:r>
      <w:r w:rsidR="00791EE5">
        <w:rPr>
          <w:rStyle w:val="default"/>
          <w:rFonts w:cs="FrankRuehl" w:hint="cs"/>
          <w:rtl/>
          <w:lang w:eastAsia="en-US"/>
        </w:rPr>
        <w:t xml:space="preserve"> (להלן </w:t>
      </w:r>
      <w:r w:rsidR="00791EE5">
        <w:rPr>
          <w:rStyle w:val="default"/>
          <w:rFonts w:cs="FrankRuehl"/>
          <w:rtl/>
          <w:lang w:eastAsia="en-US"/>
        </w:rPr>
        <w:t>–</w:t>
      </w:r>
      <w:r w:rsidR="00791EE5">
        <w:rPr>
          <w:rStyle w:val="default"/>
          <w:rFonts w:cs="FrankRuehl" w:hint="cs"/>
          <w:rtl/>
          <w:lang w:eastAsia="en-US"/>
        </w:rPr>
        <w:t xml:space="preserve"> יום התחילה)</w:t>
      </w:r>
      <w:r w:rsidR="008F56F9">
        <w:rPr>
          <w:rStyle w:val="default"/>
          <w:rFonts w:cs="FrankRuehl" w:hint="cs"/>
          <w:rtl/>
          <w:lang w:eastAsia="en-US"/>
        </w:rPr>
        <w:t xml:space="preserve">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791EE5">
        <w:rPr>
          <w:rStyle w:val="default"/>
          <w:rFonts w:cs="FrankRuehl" w:hint="cs"/>
          <w:rtl/>
          <w:lang w:eastAsia="en-US"/>
        </w:rPr>
        <w:t>מיום</w:t>
      </w:r>
      <w:r w:rsidR="008F56F9">
        <w:rPr>
          <w:rStyle w:val="default"/>
          <w:rFonts w:cs="FrankRuehl" w:hint="cs"/>
          <w:rtl/>
          <w:lang w:eastAsia="en-US"/>
        </w:rPr>
        <w:t xml:space="preserve"> התחילה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46FA591A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392346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0AEC53" w14:textId="77777777" w:rsidR="00754AF6" w:rsidRDefault="00791EE5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באב</w:t>
      </w:r>
      <w:r w:rsidR="001E01AE">
        <w:rPr>
          <w:rFonts w:hint="cs"/>
          <w:rtl/>
          <w:lang w:eastAsia="en-US"/>
        </w:rPr>
        <w:t xml:space="preserve"> </w:t>
      </w:r>
      <w:r w:rsidR="00E20C96">
        <w:rPr>
          <w:rFonts w:hint="cs"/>
          <w:rtl/>
          <w:lang w:eastAsia="en-US"/>
        </w:rPr>
        <w:t>התשפ"א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22 ביולי</w:t>
      </w:r>
      <w:r w:rsidR="003E084E">
        <w:rPr>
          <w:rFonts w:hint="cs"/>
          <w:rtl/>
          <w:lang w:eastAsia="en-US"/>
        </w:rPr>
        <w:t xml:space="preserve"> </w:t>
      </w:r>
      <w:r w:rsidR="00E20C96">
        <w:rPr>
          <w:rFonts w:hint="cs"/>
          <w:rtl/>
          <w:lang w:eastAsia="en-US"/>
        </w:rPr>
        <w:t>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זאב אלקין</w:t>
      </w:r>
    </w:p>
    <w:p w14:paraId="12191953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67ED5194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5F7F19" w14:textId="77777777" w:rsidR="00045BA0" w:rsidRDefault="00045B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9B9DDF" w14:textId="77777777" w:rsidR="00D348E3" w:rsidRDefault="00D348E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047244" w14:textId="77777777" w:rsidR="00D348E3" w:rsidRDefault="00D348E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A07705" w14:textId="77777777" w:rsidR="00D348E3" w:rsidRDefault="00D348E3" w:rsidP="00D348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502A5E6" w14:textId="77777777" w:rsidR="00045BA0" w:rsidRPr="00D348E3" w:rsidRDefault="00045BA0" w:rsidP="00D348E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045BA0" w:rsidRPr="00D348E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8203D" w14:textId="77777777" w:rsidR="00AE17B1" w:rsidRDefault="00AE17B1">
      <w:r>
        <w:separator/>
      </w:r>
    </w:p>
  </w:endnote>
  <w:endnote w:type="continuationSeparator" w:id="0">
    <w:p w14:paraId="3941E7C8" w14:textId="77777777" w:rsidR="00AE17B1" w:rsidRDefault="00AE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EF8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2BA5A5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228AF1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9AF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348E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614D47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827E36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8D9A" w14:textId="77777777" w:rsidR="00AE17B1" w:rsidRDefault="00AE17B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95EC46" w14:textId="77777777" w:rsidR="00AE17B1" w:rsidRDefault="00AE17B1">
      <w:pPr>
        <w:spacing w:before="60" w:line="240" w:lineRule="auto"/>
        <w:ind w:right="1134"/>
      </w:pPr>
      <w:r>
        <w:separator/>
      </w:r>
    </w:p>
  </w:footnote>
  <w:footnote w:id="1">
    <w:p w14:paraId="61F5DDBC" w14:textId="77777777" w:rsidR="00F5755B" w:rsidRDefault="00754AF6" w:rsidP="00F575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F5755B">
          <w:rPr>
            <w:rStyle w:val="Hyperlink"/>
            <w:rFonts w:hint="cs"/>
            <w:rtl/>
            <w:lang w:eastAsia="en-US"/>
          </w:rPr>
          <w:t xml:space="preserve">ק"ת </w:t>
        </w:r>
        <w:r w:rsidRPr="00F5755B">
          <w:rPr>
            <w:rStyle w:val="Hyperlink"/>
            <w:rFonts w:hint="cs"/>
            <w:rtl/>
            <w:lang w:eastAsia="en-US"/>
          </w:rPr>
          <w:t>ת</w:t>
        </w:r>
        <w:r w:rsidRPr="00F5755B">
          <w:rPr>
            <w:rStyle w:val="Hyperlink"/>
            <w:rFonts w:hint="cs"/>
            <w:rtl/>
            <w:lang w:eastAsia="en-US"/>
          </w:rPr>
          <w:t>ש</w:t>
        </w:r>
        <w:r w:rsidR="00E20C96" w:rsidRPr="00F5755B">
          <w:rPr>
            <w:rStyle w:val="Hyperlink"/>
            <w:rFonts w:hint="cs"/>
            <w:rtl/>
            <w:lang w:eastAsia="en-US"/>
          </w:rPr>
          <w:t>פ"א</w:t>
        </w:r>
        <w:r w:rsidRPr="00F5755B">
          <w:rPr>
            <w:rStyle w:val="Hyperlink"/>
            <w:rFonts w:hint="cs"/>
            <w:rtl/>
            <w:lang w:eastAsia="en-US"/>
          </w:rPr>
          <w:t xml:space="preserve"> מס' </w:t>
        </w:r>
        <w:r w:rsidR="001C3B51" w:rsidRPr="00F5755B">
          <w:rPr>
            <w:rStyle w:val="Hyperlink"/>
            <w:rFonts w:hint="cs"/>
            <w:rtl/>
            <w:lang w:eastAsia="en-US"/>
          </w:rPr>
          <w:t>9537</w:t>
        </w:r>
      </w:hyperlink>
      <w:r>
        <w:rPr>
          <w:rFonts w:hint="cs"/>
          <w:rtl/>
          <w:lang w:eastAsia="en-US"/>
        </w:rPr>
        <w:t xml:space="preserve"> מיום </w:t>
      </w:r>
      <w:r w:rsidR="001C3B51">
        <w:rPr>
          <w:rFonts w:hint="cs"/>
          <w:rtl/>
          <w:lang w:eastAsia="en-US"/>
        </w:rPr>
        <w:t>2.8</w:t>
      </w:r>
      <w:r w:rsidR="00E20C96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1C3B51">
        <w:rPr>
          <w:rFonts w:hint="cs"/>
          <w:rtl/>
          <w:lang w:eastAsia="en-US"/>
        </w:rPr>
        <w:t>3866</w:t>
      </w:r>
      <w:r>
        <w:rPr>
          <w:rFonts w:hint="cs"/>
          <w:rtl/>
          <w:lang w:eastAsia="en-US"/>
        </w:rPr>
        <w:t>.</w:t>
      </w:r>
    </w:p>
  </w:footnote>
  <w:footnote w:id="2">
    <w:p w14:paraId="30485F79" w14:textId="77777777" w:rsidR="001C3B51" w:rsidRPr="001E01AE" w:rsidRDefault="001C3B51" w:rsidP="001C3B51">
      <w:pPr>
        <w:pStyle w:val="a5"/>
        <w:spacing w:before="72" w:line="240" w:lineRule="auto"/>
        <w:ind w:right="1134"/>
        <w:rPr>
          <w:rFonts w:ascii="FrankRuehl" w:hAnsi="FrankRuehl" w:cs="FrankRuehl" w:hint="cs"/>
          <w:sz w:val="22"/>
          <w:szCs w:val="22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</w:t>
      </w:r>
      <w:r>
        <w:rPr>
          <w:rFonts w:ascii="FrankRuehl" w:hAnsi="FrankRuehl" w:cs="FrankRuehl" w:hint="cs"/>
          <w:sz w:val="22"/>
          <w:szCs w:val="22"/>
          <w:rtl/>
        </w:rPr>
        <w:t>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ה (הכרזה על מתחמים </w:t>
      </w:r>
      <w:r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), </w:t>
      </w:r>
      <w:r>
        <w:rPr>
          <w:rFonts w:ascii="FrankRuehl" w:hAnsi="FrankRuehl" w:cs="FrankRuehl" w:hint="cs"/>
          <w:sz w:val="22"/>
          <w:szCs w:val="22"/>
          <w:rtl/>
        </w:rPr>
        <w:t>תש"ע-2010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"ע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913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>
        <w:rPr>
          <w:rFonts w:ascii="FrankRuehl" w:hAnsi="FrankRuehl" w:cs="FrankRuehl" w:hint="cs"/>
          <w:sz w:val="22"/>
          <w:szCs w:val="22"/>
          <w:rtl/>
        </w:rPr>
        <w:t>28.7.2010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>
        <w:rPr>
          <w:rFonts w:ascii="FrankRuehl" w:hAnsi="FrankRuehl" w:cs="FrankRuehl" w:hint="cs"/>
          <w:sz w:val="22"/>
          <w:szCs w:val="22"/>
          <w:rtl/>
        </w:rPr>
        <w:t>1432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  <w:r w:rsidRPr="001E01AE">
        <w:rPr>
          <w:rFonts w:ascii="FrankRuehl" w:hAnsi="FrankRuehl" w:cs="FrankRuehl" w:hint="cs"/>
          <w:sz w:val="22"/>
          <w:szCs w:val="22"/>
          <w:rtl/>
        </w:rPr>
        <w:t xml:space="preserve"> הוארך </w:t>
      </w:r>
      <w:hyperlink r:id="rId3" w:history="1">
        <w:r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837</w:t>
        </w:r>
      </w:hyperlink>
      <w:r w:rsidRPr="001E01AE">
        <w:rPr>
          <w:rFonts w:ascii="FrankRuehl" w:hAnsi="FrankRuehl" w:cs="FrankRuehl" w:hint="cs"/>
          <w:sz w:val="22"/>
          <w:szCs w:val="22"/>
          <w:rtl/>
        </w:rPr>
        <w:t xml:space="preserve"> מיום </w:t>
      </w:r>
      <w:r>
        <w:rPr>
          <w:rFonts w:ascii="FrankRuehl" w:hAnsi="FrankRuehl" w:cs="FrankRuehl" w:hint="cs"/>
          <w:sz w:val="22"/>
          <w:szCs w:val="22"/>
          <w:rtl/>
        </w:rPr>
        <w:t>10.7.2017</w:t>
      </w:r>
      <w:r w:rsidRPr="001E01AE">
        <w:rPr>
          <w:rFonts w:ascii="FrankRuehl" w:hAnsi="FrankRuehl" w:cs="FrankRuehl" w:hint="cs"/>
          <w:sz w:val="22"/>
          <w:szCs w:val="22"/>
          <w:rtl/>
        </w:rPr>
        <w:t xml:space="preserve"> עמ' </w:t>
      </w:r>
      <w:r>
        <w:rPr>
          <w:rFonts w:ascii="FrankRuehl" w:hAnsi="FrankRuehl" w:cs="FrankRuehl" w:hint="cs"/>
          <w:sz w:val="22"/>
          <w:szCs w:val="22"/>
          <w:rtl/>
        </w:rPr>
        <w:t>1355</w:t>
      </w:r>
      <w:r w:rsidRPr="001E01AE">
        <w:rPr>
          <w:rFonts w:ascii="FrankRuehl" w:hAnsi="FrankRuehl"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D48F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E5F3E9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6F16CD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62DD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1C3B51">
      <w:rPr>
        <w:rFonts w:hint="cs"/>
        <w:color w:val="000000"/>
        <w:sz w:val="28"/>
        <w:szCs w:val="28"/>
        <w:rtl/>
        <w:lang w:eastAsia="en-US"/>
      </w:rPr>
      <w:t xml:space="preserve">הארכת </w:t>
    </w:r>
    <w:r w:rsidR="00990C50">
      <w:rPr>
        <w:rFonts w:hint="cs"/>
        <w:color w:val="000000"/>
        <w:sz w:val="28"/>
        <w:szCs w:val="28"/>
        <w:rtl/>
        <w:lang w:eastAsia="en-US"/>
      </w:rPr>
      <w:t>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E20C96">
      <w:rPr>
        <w:rFonts w:hint="cs"/>
        <w:color w:val="000000"/>
        <w:sz w:val="28"/>
        <w:szCs w:val="28"/>
        <w:rtl/>
        <w:lang w:eastAsia="en-US"/>
      </w:rPr>
      <w:t>תשפ"א-2021</w:t>
    </w:r>
  </w:p>
  <w:p w14:paraId="034B63A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E3B777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45BA0"/>
    <w:rsid w:val="00056323"/>
    <w:rsid w:val="00060F67"/>
    <w:rsid w:val="000744C1"/>
    <w:rsid w:val="00085BFE"/>
    <w:rsid w:val="000D17A2"/>
    <w:rsid w:val="001504CA"/>
    <w:rsid w:val="001664D6"/>
    <w:rsid w:val="00195CDE"/>
    <w:rsid w:val="001A4465"/>
    <w:rsid w:val="001C3B51"/>
    <w:rsid w:val="001E01AE"/>
    <w:rsid w:val="001F2178"/>
    <w:rsid w:val="00263D45"/>
    <w:rsid w:val="002B41FB"/>
    <w:rsid w:val="002B6491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80278"/>
    <w:rsid w:val="004B42FE"/>
    <w:rsid w:val="004C7145"/>
    <w:rsid w:val="004C7C97"/>
    <w:rsid w:val="004D6859"/>
    <w:rsid w:val="00516B5E"/>
    <w:rsid w:val="005353C7"/>
    <w:rsid w:val="005531F6"/>
    <w:rsid w:val="00561B49"/>
    <w:rsid w:val="0058263A"/>
    <w:rsid w:val="00595927"/>
    <w:rsid w:val="005E2B2B"/>
    <w:rsid w:val="00632283"/>
    <w:rsid w:val="006758DD"/>
    <w:rsid w:val="00694840"/>
    <w:rsid w:val="006A1770"/>
    <w:rsid w:val="006A260A"/>
    <w:rsid w:val="006C0AEB"/>
    <w:rsid w:val="006E3584"/>
    <w:rsid w:val="006F5E49"/>
    <w:rsid w:val="007146EB"/>
    <w:rsid w:val="00754AF6"/>
    <w:rsid w:val="00757F93"/>
    <w:rsid w:val="00771CEC"/>
    <w:rsid w:val="00791EE5"/>
    <w:rsid w:val="007B77B2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B7853"/>
    <w:rsid w:val="00AE17B1"/>
    <w:rsid w:val="00AE7043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ACA"/>
    <w:rsid w:val="00C908BF"/>
    <w:rsid w:val="00CF2744"/>
    <w:rsid w:val="00CF518D"/>
    <w:rsid w:val="00D3187F"/>
    <w:rsid w:val="00D348E3"/>
    <w:rsid w:val="00D91DFA"/>
    <w:rsid w:val="00DC35FD"/>
    <w:rsid w:val="00DD1E3E"/>
    <w:rsid w:val="00DF17E6"/>
    <w:rsid w:val="00E208D0"/>
    <w:rsid w:val="00E20C96"/>
    <w:rsid w:val="00E74F6C"/>
    <w:rsid w:val="00EE4448"/>
    <w:rsid w:val="00EF6DAF"/>
    <w:rsid w:val="00F135EA"/>
    <w:rsid w:val="00F5755B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7987153"/>
  <w15:chartTrackingRefBased/>
  <w15:docId w15:val="{F81A9E49-0504-4864-B453-5C7B76D2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7837.pdf" TargetMode="External"/><Relationship Id="rId2" Type="http://schemas.openxmlformats.org/officeDocument/2006/relationships/hyperlink" Target="https://www.nevo.co.il/law_word/law06/tak-6913.pdf" TargetMode="External"/><Relationship Id="rId1" Type="http://schemas.openxmlformats.org/officeDocument/2006/relationships/hyperlink" Target="https://www.nevo.co.il/law_word/law06/tak-95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1325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https://www.nevo.co.il/law_word/law06/tak-7837.pdf</vt:lpwstr>
      </vt:variant>
      <vt:variant>
        <vt:lpwstr/>
      </vt:variant>
      <vt:variant>
        <vt:i4>8126485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https://www.nevo.co.il/law_word/law06/tak-6913.pdf</vt:lpwstr>
      </vt:variant>
      <vt:variant>
        <vt:lpwstr/>
      </vt:variant>
      <vt:variant>
        <vt:i4>7602200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https://www.nevo.co.il/law_word/law06/tak-9537.pdf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מתחם לפינוי לשם בינוי לתקופה שלישית במסלול רשויות מקומיות) (הוראת שעה), תשפ"א-2021</vt:lpwstr>
  </property>
  <property fmtid="{D5CDD505-2E9C-101B-9397-08002B2CF9AE}" pid="5" name="LAWNUMBER">
    <vt:lpwstr>0522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14XבX3XאX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https://www.nevo.co.il/law_word/law06/tak-9537.pdf;‎רשומות - תקנות כלליות#פורסם ק"ת ‏תשפ"א מס' 9537 #מיום 2.8.2021 עמ' 3866‏</vt:lpwstr>
  </property>
</Properties>
</file>