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F92E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41096F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41096F">
        <w:rPr>
          <w:rFonts w:hint="cs"/>
          <w:rtl/>
          <w:lang w:eastAsia="en-US"/>
        </w:rPr>
        <w:t>9</w:t>
      </w:r>
    </w:p>
    <w:p w14:paraId="2D2F3A98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7E7ADBE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E01014D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679BD86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0CA347F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87C0B" w:rsidRPr="00587C0B" w14:paraId="354A4D37" w14:textId="77777777" w:rsidTr="00587C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4CCBBF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5312F89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0AF969BF" w14:textId="77777777" w:rsidR="00587C0B" w:rsidRPr="00587C0B" w:rsidRDefault="00587C0B" w:rsidP="00587C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587C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5A8919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 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87C0B" w:rsidRPr="00587C0B" w14:paraId="5E0EC422" w14:textId="77777777" w:rsidTr="00587C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80F53E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44D498E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140B9425" w14:textId="77777777" w:rsidR="00587C0B" w:rsidRPr="00587C0B" w:rsidRDefault="00587C0B" w:rsidP="00587C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587C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3F14D4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 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87C0B" w:rsidRPr="00587C0B" w14:paraId="26161001" w14:textId="77777777" w:rsidTr="00587C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873240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89FC2A7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43FB4ED1" w14:textId="77777777" w:rsidR="00587C0B" w:rsidRPr="00587C0B" w:rsidRDefault="00587C0B" w:rsidP="00587C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587C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0B9313" w14:textId="77777777" w:rsidR="00587C0B" w:rsidRPr="00587C0B" w:rsidRDefault="00587C0B" w:rsidP="00587C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 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770B08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9304344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>), תשע"</w:t>
      </w:r>
      <w:r w:rsidR="0041096F">
        <w:rPr>
          <w:rFonts w:hint="cs"/>
          <w:rtl/>
          <w:lang w:eastAsia="en-US"/>
        </w:rPr>
        <w:t>ט</w:t>
      </w:r>
      <w:r w:rsidR="00417EA6">
        <w:rPr>
          <w:rFonts w:hint="cs"/>
          <w:rtl/>
          <w:lang w:eastAsia="en-US"/>
        </w:rPr>
        <w:t>-201</w:t>
      </w:r>
      <w:r w:rsidR="0041096F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B9171F3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5CD66FF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001575D3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52187256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53F517CE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41096F">
        <w:rPr>
          <w:rStyle w:val="default"/>
          <w:rFonts w:cs="FrankRuehl" w:hint="cs"/>
          <w:rtl/>
          <w:lang w:eastAsia="en-US"/>
        </w:rPr>
        <w:t>חולון – יוספטל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7C9F2B80" w14:textId="77777777" w:rsidR="00304605" w:rsidRDefault="00304605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41096F">
        <w:rPr>
          <w:rStyle w:val="default"/>
          <w:rFonts w:cs="FrankRuehl" w:hint="cs"/>
          <w:rtl/>
          <w:lang w:eastAsia="en-US"/>
        </w:rPr>
        <w:t xml:space="preserve">חולון </w:t>
      </w:r>
      <w:r w:rsidR="0041096F">
        <w:rPr>
          <w:rStyle w:val="default"/>
          <w:rFonts w:cs="FrankRuehl"/>
          <w:rtl/>
          <w:lang w:eastAsia="en-US"/>
        </w:rPr>
        <w:t>–</w:t>
      </w:r>
      <w:r w:rsidR="0041096F">
        <w:rPr>
          <w:rStyle w:val="default"/>
          <w:rFonts w:cs="FrankRuehl" w:hint="cs"/>
          <w:rtl/>
          <w:lang w:eastAsia="en-US"/>
        </w:rPr>
        <w:t xml:space="preserve"> מבצע סיני;</w:t>
      </w:r>
    </w:p>
    <w:p w14:paraId="0154BC66" w14:textId="77777777" w:rsidR="0041096F" w:rsidRDefault="0041096F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קריית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צה"ל;</w:t>
      </w:r>
    </w:p>
    <w:p w14:paraId="2ACC41F0" w14:textId="77777777" w:rsidR="0041096F" w:rsidRDefault="0041096F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באר שבע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אורות;</w:t>
      </w:r>
    </w:p>
    <w:p w14:paraId="790A6675" w14:textId="77777777" w:rsidR="0041096F" w:rsidRDefault="0041096F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אשקלון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אהוד/התחיה;</w:t>
      </w:r>
    </w:p>
    <w:p w14:paraId="1F098CC8" w14:textId="77777777" w:rsidR="0041096F" w:rsidRDefault="0041096F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אשקלון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בנימין.</w:t>
      </w:r>
    </w:p>
    <w:p w14:paraId="4C6A90AC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255C0B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5881F7E1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המתחמים המפורטים בסעיף 1</w:t>
      </w:r>
      <w:r w:rsidR="0041096F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בדבר.</w:t>
      </w:r>
    </w:p>
    <w:p w14:paraId="2F3D0348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3ECE4A7A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234F2985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52B3B11B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29E2B6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8F30886" w14:textId="77777777" w:rsidR="00754AF6" w:rsidRDefault="0041096F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כ"ה</w:t>
      </w:r>
      <w:r w:rsidR="00417EA6">
        <w:rPr>
          <w:rFonts w:hint="cs"/>
          <w:rtl/>
          <w:lang w:eastAsia="en-US"/>
        </w:rPr>
        <w:t xml:space="preserve"> בטבת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 בינואר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3E9ABFD1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51BD852C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EAAD76D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1766C3" w14:textId="77777777" w:rsidR="00587C0B" w:rsidRDefault="00587C0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BCE0B8D" w14:textId="77777777" w:rsidR="00587C0B" w:rsidRDefault="00587C0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A9DE95A" w14:textId="77777777" w:rsidR="00587C0B" w:rsidRDefault="00587C0B" w:rsidP="00587C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0E0653" w14:textId="77777777" w:rsidR="00AA4975" w:rsidRPr="00587C0B" w:rsidRDefault="00AA4975" w:rsidP="00587C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A4975" w:rsidRPr="00587C0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EDC7" w14:textId="77777777" w:rsidR="00E53029" w:rsidRDefault="00E53029">
      <w:r>
        <w:separator/>
      </w:r>
    </w:p>
  </w:endnote>
  <w:endnote w:type="continuationSeparator" w:id="0">
    <w:p w14:paraId="79AA01CD" w14:textId="77777777" w:rsidR="00E53029" w:rsidRDefault="00E5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682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061B2E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F19E80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4C2E4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87C0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5B56CE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C1FF67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FB52" w14:textId="77777777" w:rsidR="00E53029" w:rsidRDefault="00E5302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7846F7" w14:textId="77777777" w:rsidR="00E53029" w:rsidRDefault="00E53029">
      <w:pPr>
        <w:spacing w:before="60" w:line="240" w:lineRule="auto"/>
        <w:ind w:right="1134"/>
      </w:pPr>
      <w:r>
        <w:separator/>
      </w:r>
    </w:p>
  </w:footnote>
  <w:footnote w:id="1">
    <w:p w14:paraId="5F7022DA" w14:textId="77777777" w:rsidR="00C826D4" w:rsidRDefault="00754AF6" w:rsidP="00C826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C826D4">
          <w:rPr>
            <w:rStyle w:val="Hyperlink"/>
            <w:rFonts w:hint="cs"/>
            <w:rtl/>
            <w:lang w:eastAsia="en-US"/>
          </w:rPr>
          <w:t xml:space="preserve">ק"ת </w:t>
        </w:r>
        <w:r w:rsidRPr="00C826D4">
          <w:rPr>
            <w:rStyle w:val="Hyperlink"/>
            <w:rFonts w:hint="cs"/>
            <w:rtl/>
            <w:lang w:eastAsia="en-US"/>
          </w:rPr>
          <w:t>ת</w:t>
        </w:r>
        <w:r w:rsidRPr="00C826D4">
          <w:rPr>
            <w:rStyle w:val="Hyperlink"/>
            <w:rFonts w:hint="cs"/>
            <w:rtl/>
            <w:lang w:eastAsia="en-US"/>
          </w:rPr>
          <w:t>ש</w:t>
        </w:r>
        <w:r w:rsidR="004B42FE" w:rsidRPr="00C826D4">
          <w:rPr>
            <w:rStyle w:val="Hyperlink"/>
            <w:rFonts w:hint="cs"/>
            <w:rtl/>
            <w:lang w:eastAsia="en-US"/>
          </w:rPr>
          <w:t>ע"</w:t>
        </w:r>
        <w:r w:rsidR="0041096F" w:rsidRPr="00C826D4">
          <w:rPr>
            <w:rStyle w:val="Hyperlink"/>
            <w:rFonts w:hint="cs"/>
            <w:rtl/>
            <w:lang w:eastAsia="en-US"/>
          </w:rPr>
          <w:t>ט</w:t>
        </w:r>
        <w:r w:rsidRPr="00C826D4">
          <w:rPr>
            <w:rStyle w:val="Hyperlink"/>
            <w:rFonts w:hint="cs"/>
            <w:rtl/>
            <w:lang w:eastAsia="en-US"/>
          </w:rPr>
          <w:t xml:space="preserve"> מס' </w:t>
        </w:r>
        <w:r w:rsidR="0041096F" w:rsidRPr="00C826D4">
          <w:rPr>
            <w:rStyle w:val="Hyperlink"/>
            <w:rFonts w:hint="cs"/>
            <w:rtl/>
            <w:lang w:eastAsia="en-US"/>
          </w:rPr>
          <w:t>8196</w:t>
        </w:r>
      </w:hyperlink>
      <w:r>
        <w:rPr>
          <w:rFonts w:hint="cs"/>
          <w:rtl/>
          <w:lang w:eastAsia="en-US"/>
        </w:rPr>
        <w:t xml:space="preserve"> מיום </w:t>
      </w:r>
      <w:r w:rsidR="0041096F">
        <w:rPr>
          <w:rFonts w:hint="cs"/>
          <w:rtl/>
          <w:lang w:eastAsia="en-US"/>
        </w:rPr>
        <w:t>26.3.2019</w:t>
      </w:r>
      <w:r>
        <w:rPr>
          <w:rFonts w:hint="cs"/>
          <w:rtl/>
          <w:lang w:eastAsia="en-US"/>
        </w:rPr>
        <w:t xml:space="preserve"> עמ' </w:t>
      </w:r>
      <w:r w:rsidR="0041096F">
        <w:rPr>
          <w:rFonts w:hint="cs"/>
          <w:rtl/>
          <w:lang w:eastAsia="en-US"/>
        </w:rPr>
        <w:t>3075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BCCE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C73FA6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85A643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88F34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41096F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096F">
      <w:rPr>
        <w:rFonts w:hint="cs"/>
        <w:color w:val="000000"/>
        <w:sz w:val="28"/>
        <w:szCs w:val="28"/>
        <w:rtl/>
        <w:lang w:eastAsia="en-US"/>
      </w:rPr>
      <w:t>9</w:t>
    </w:r>
  </w:p>
  <w:p w14:paraId="30FA796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40F86F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75FD"/>
    <w:rsid w:val="001504CA"/>
    <w:rsid w:val="0018568D"/>
    <w:rsid w:val="001A4465"/>
    <w:rsid w:val="001F2178"/>
    <w:rsid w:val="00260F5C"/>
    <w:rsid w:val="00263D45"/>
    <w:rsid w:val="002B6491"/>
    <w:rsid w:val="002E505F"/>
    <w:rsid w:val="002F4D19"/>
    <w:rsid w:val="00304605"/>
    <w:rsid w:val="003323F6"/>
    <w:rsid w:val="0041096F"/>
    <w:rsid w:val="004152AE"/>
    <w:rsid w:val="00417EA6"/>
    <w:rsid w:val="004B42FE"/>
    <w:rsid w:val="004C7145"/>
    <w:rsid w:val="004C7C97"/>
    <w:rsid w:val="004D6859"/>
    <w:rsid w:val="005353C7"/>
    <w:rsid w:val="00561B49"/>
    <w:rsid w:val="00587C0B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A0F45"/>
    <w:rsid w:val="008C1A54"/>
    <w:rsid w:val="008E34C6"/>
    <w:rsid w:val="008E3917"/>
    <w:rsid w:val="00921592"/>
    <w:rsid w:val="00935E34"/>
    <w:rsid w:val="009858AC"/>
    <w:rsid w:val="009878AA"/>
    <w:rsid w:val="00A51F4C"/>
    <w:rsid w:val="00A65D26"/>
    <w:rsid w:val="00AA448A"/>
    <w:rsid w:val="00AA4975"/>
    <w:rsid w:val="00B13640"/>
    <w:rsid w:val="00B20F17"/>
    <w:rsid w:val="00B26408"/>
    <w:rsid w:val="00B54BDB"/>
    <w:rsid w:val="00B77ECA"/>
    <w:rsid w:val="00BC040B"/>
    <w:rsid w:val="00C2357E"/>
    <w:rsid w:val="00C32AA5"/>
    <w:rsid w:val="00C4105E"/>
    <w:rsid w:val="00C826D4"/>
    <w:rsid w:val="00C908BF"/>
    <w:rsid w:val="00CF2744"/>
    <w:rsid w:val="00CF518D"/>
    <w:rsid w:val="00D205D4"/>
    <w:rsid w:val="00D3187F"/>
    <w:rsid w:val="00DC35FD"/>
    <w:rsid w:val="00DD1E3E"/>
    <w:rsid w:val="00DF17E6"/>
    <w:rsid w:val="00E0332D"/>
    <w:rsid w:val="00E208D0"/>
    <w:rsid w:val="00E53029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B8B6BE7"/>
  <w15:chartTrackingRefBased/>
  <w15:docId w15:val="{FF959103-D229-4631-8CAA-33255C37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1358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h4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 מס' 2), תשע"ט-2019</vt:lpwstr>
  </property>
  <property fmtid="{D5CDD505-2E9C-101B-9397-08002B2CF9AE}" pid="5" name="LAWNUMBER">
    <vt:lpwstr>0096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http://www.nevo.co.il/Law_word/law06/tak-8196.pdf;‎רשומות - תקנות כלליות#פורסם ק"ת ‏תשע"ט מס' 8196 #מיום 26.3.2019 עמ' 3075‏</vt:lpwstr>
  </property>
</Properties>
</file>