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5D8593" w14:textId="77777777" w:rsidR="00754AF6" w:rsidRDefault="00754AF6" w:rsidP="00085BFE">
      <w:pPr>
        <w:pStyle w:val="big-header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 xml:space="preserve">צו </w:t>
      </w:r>
      <w:r w:rsidR="00B20F17">
        <w:rPr>
          <w:rFonts w:hint="cs"/>
          <w:rtl/>
          <w:lang w:eastAsia="en-US"/>
        </w:rPr>
        <w:t>הרשות הממשלתית להתחדשות עירונית</w:t>
      </w:r>
      <w:r w:rsidR="001A4465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>(</w:t>
      </w:r>
      <w:r w:rsidR="00085BFE">
        <w:rPr>
          <w:rFonts w:hint="cs"/>
          <w:rtl/>
          <w:lang w:eastAsia="en-US"/>
        </w:rPr>
        <w:t>חידוש</w:t>
      </w:r>
      <w:r w:rsidR="00990C50">
        <w:rPr>
          <w:rFonts w:hint="cs"/>
          <w:rtl/>
          <w:lang w:eastAsia="en-US"/>
        </w:rPr>
        <w:t xml:space="preserve"> תוקף הכרז</w:t>
      </w:r>
      <w:r w:rsidR="00085BFE">
        <w:rPr>
          <w:rFonts w:hint="cs"/>
          <w:rtl/>
          <w:lang w:eastAsia="en-US"/>
        </w:rPr>
        <w:t>ה</w:t>
      </w:r>
      <w:r>
        <w:rPr>
          <w:rFonts w:hint="cs"/>
          <w:rtl/>
          <w:lang w:eastAsia="en-US"/>
        </w:rPr>
        <w:t xml:space="preserve"> על מתחם לפינוי </w:t>
      </w:r>
      <w:r w:rsidR="00990C50">
        <w:rPr>
          <w:rFonts w:hint="cs"/>
          <w:rtl/>
          <w:lang w:eastAsia="en-US"/>
        </w:rPr>
        <w:t xml:space="preserve">לשם </w:t>
      </w:r>
      <w:r>
        <w:rPr>
          <w:rFonts w:hint="cs"/>
          <w:rtl/>
          <w:lang w:eastAsia="en-US"/>
        </w:rPr>
        <w:t xml:space="preserve">בינוי </w:t>
      </w:r>
      <w:r w:rsidR="00990C50">
        <w:rPr>
          <w:rFonts w:hint="cs"/>
          <w:rtl/>
          <w:lang w:eastAsia="en-US"/>
        </w:rPr>
        <w:t xml:space="preserve">לתקופה </w:t>
      </w:r>
      <w:r w:rsidR="003E084E">
        <w:rPr>
          <w:rFonts w:hint="cs"/>
          <w:rtl/>
          <w:lang w:eastAsia="en-US"/>
        </w:rPr>
        <w:t>שלישית</w:t>
      </w:r>
      <w:r w:rsidR="00990C50">
        <w:rPr>
          <w:rFonts w:hint="cs"/>
          <w:rtl/>
          <w:lang w:eastAsia="en-US"/>
        </w:rPr>
        <w:t xml:space="preserve"> </w:t>
      </w:r>
      <w:r>
        <w:rPr>
          <w:rFonts w:hint="cs"/>
          <w:rtl/>
          <w:lang w:eastAsia="en-US"/>
        </w:rPr>
        <w:t xml:space="preserve">במסלול </w:t>
      </w:r>
      <w:r w:rsidR="00304605">
        <w:rPr>
          <w:rFonts w:hint="cs"/>
          <w:rtl/>
          <w:lang w:eastAsia="en-US"/>
        </w:rPr>
        <w:t>רשויות מקומיות</w:t>
      </w:r>
      <w:r>
        <w:rPr>
          <w:rFonts w:hint="cs"/>
          <w:rtl/>
          <w:lang w:eastAsia="en-US"/>
        </w:rPr>
        <w:t>)</w:t>
      </w:r>
      <w:r w:rsidR="003E084E">
        <w:rPr>
          <w:rFonts w:hint="cs"/>
          <w:rtl/>
          <w:lang w:eastAsia="en-US"/>
        </w:rPr>
        <w:t xml:space="preserve"> (הוראת שעה)</w:t>
      </w:r>
      <w:r>
        <w:rPr>
          <w:rFonts w:hint="cs"/>
          <w:rtl/>
          <w:lang w:eastAsia="en-US"/>
        </w:rPr>
        <w:t xml:space="preserve">, </w:t>
      </w:r>
      <w:r w:rsidR="001A4465">
        <w:rPr>
          <w:rFonts w:hint="cs"/>
          <w:rtl/>
          <w:lang w:eastAsia="en-US"/>
        </w:rPr>
        <w:t>תשע"</w:t>
      </w:r>
      <w:r w:rsidR="0058263A">
        <w:rPr>
          <w:rFonts w:hint="cs"/>
          <w:rtl/>
          <w:lang w:eastAsia="en-US"/>
        </w:rPr>
        <w:t>ט</w:t>
      </w:r>
      <w:r w:rsidR="00B54BDB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</w:p>
    <w:p w14:paraId="61DA0D60" w14:textId="77777777" w:rsidR="00B20F17" w:rsidRPr="00B20F17" w:rsidRDefault="00B20F17" w:rsidP="00B20F17">
      <w:pPr>
        <w:spacing w:line="320" w:lineRule="auto"/>
        <w:jc w:val="left"/>
        <w:rPr>
          <w:rFonts w:cs="FrankRuehl"/>
          <w:szCs w:val="26"/>
          <w:rtl/>
          <w:lang w:eastAsia="en-US"/>
        </w:rPr>
      </w:pPr>
    </w:p>
    <w:p w14:paraId="054005D4" w14:textId="77777777" w:rsidR="00B20F17" w:rsidRDefault="00B20F17" w:rsidP="00B20F17">
      <w:pPr>
        <w:spacing w:line="320" w:lineRule="auto"/>
        <w:jc w:val="left"/>
        <w:rPr>
          <w:rtl/>
          <w:lang w:eastAsia="en-US"/>
        </w:rPr>
      </w:pPr>
    </w:p>
    <w:p w14:paraId="042C435A" w14:textId="77777777" w:rsidR="00B20F17" w:rsidRDefault="00B20F17" w:rsidP="00B20F17">
      <w:pPr>
        <w:spacing w:line="320" w:lineRule="auto"/>
        <w:jc w:val="left"/>
        <w:rPr>
          <w:rFonts w:cs="Miriam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רשויות ומשפט מנהלי</w:t>
      </w:r>
      <w:r w:rsidRPr="00B20F17">
        <w:rPr>
          <w:rFonts w:cs="FrankRuehl"/>
          <w:szCs w:val="26"/>
          <w:rtl/>
          <w:lang w:eastAsia="en-US"/>
        </w:rPr>
        <w:t xml:space="preserve"> – תכנון ובניה – התחדשות עירונית</w:t>
      </w:r>
    </w:p>
    <w:p w14:paraId="3120830D" w14:textId="77777777" w:rsidR="00B20F17" w:rsidRPr="00B20F17" w:rsidRDefault="00B20F17" w:rsidP="00B20F17">
      <w:pPr>
        <w:spacing w:line="320" w:lineRule="auto"/>
        <w:jc w:val="left"/>
        <w:rPr>
          <w:rFonts w:cs="Miriam" w:hint="cs"/>
          <w:szCs w:val="22"/>
          <w:rtl/>
          <w:lang w:eastAsia="en-US"/>
        </w:rPr>
      </w:pPr>
      <w:r w:rsidRPr="00B20F17">
        <w:rPr>
          <w:rFonts w:cs="Miriam"/>
          <w:szCs w:val="22"/>
          <w:rtl/>
          <w:lang w:eastAsia="en-US"/>
        </w:rPr>
        <w:t>משפט פרטי וכלכלה</w:t>
      </w:r>
      <w:r w:rsidRPr="00B20F17">
        <w:rPr>
          <w:rFonts w:cs="FrankRuehl"/>
          <w:szCs w:val="26"/>
          <w:rtl/>
          <w:lang w:eastAsia="en-US"/>
        </w:rPr>
        <w:t xml:space="preserve"> – קניין – מקרקעין</w:t>
      </w:r>
    </w:p>
    <w:p w14:paraId="47505BC5" w14:textId="77777777" w:rsidR="00754AF6" w:rsidRDefault="00754AF6">
      <w:pPr>
        <w:pStyle w:val="big-header"/>
        <w:ind w:left="0" w:right="1134"/>
        <w:rPr>
          <w:rStyle w:val="default"/>
          <w:rFonts w:cs="FrankRuehl" w:hint="cs"/>
          <w:rtl/>
          <w:lang w:eastAsia="en-US"/>
        </w:rPr>
      </w:pPr>
      <w:r>
        <w:rPr>
          <w:rFonts w:hint="cs"/>
          <w:rtl/>
          <w:lang w:eastAsia="en-US"/>
        </w:rPr>
        <w:t>תוכן ענינים</w:t>
      </w:r>
    </w:p>
    <w:tbl>
      <w:tblPr>
        <w:bidiVisual/>
        <w:tblW w:w="8333" w:type="dxa"/>
        <w:tblLayout w:type="fixed"/>
        <w:tblLook w:val="0000" w:firstRow="0" w:lastRow="0" w:firstColumn="0" w:lastColumn="0" w:noHBand="0" w:noVBand="0"/>
      </w:tblPr>
      <w:tblGrid>
        <w:gridCol w:w="1247"/>
        <w:gridCol w:w="5669"/>
        <w:gridCol w:w="567"/>
        <w:gridCol w:w="850"/>
      </w:tblGrid>
      <w:tr w:rsidR="001664D6" w:rsidRPr="001664D6" w14:paraId="2C83FCD0" w14:textId="77777777" w:rsidTr="001664D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70DD6A6E" w14:textId="77777777" w:rsidR="001664D6" w:rsidRPr="001664D6" w:rsidRDefault="001664D6" w:rsidP="001664D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1 </w:t>
            </w:r>
          </w:p>
        </w:tc>
        <w:tc>
          <w:tcPr>
            <w:tcW w:w="5669" w:type="dxa"/>
          </w:tcPr>
          <w:p w14:paraId="7949044E" w14:textId="77777777" w:rsidR="001664D6" w:rsidRPr="001664D6" w:rsidRDefault="001664D6" w:rsidP="001664D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חידוש תוקף ההכרזה</w:t>
            </w:r>
          </w:p>
        </w:tc>
        <w:tc>
          <w:tcPr>
            <w:tcW w:w="567" w:type="dxa"/>
          </w:tcPr>
          <w:p w14:paraId="01371867" w14:textId="77777777" w:rsidR="001664D6" w:rsidRPr="001664D6" w:rsidRDefault="001664D6" w:rsidP="001664D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1" w:tooltip="חידוש תוקף ההכרזה" w:history="1">
              <w:r w:rsidRPr="001664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39AFE8D5" w14:textId="77777777" w:rsidR="001664D6" w:rsidRPr="001664D6" w:rsidRDefault="001664D6" w:rsidP="001664D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Seif1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664D6" w:rsidRPr="001664D6" w14:paraId="4806CCDE" w14:textId="77777777" w:rsidTr="001664D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5E8676CD" w14:textId="77777777" w:rsidR="001664D6" w:rsidRPr="001664D6" w:rsidRDefault="001664D6" w:rsidP="001664D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2 </w:t>
            </w:r>
          </w:p>
        </w:tc>
        <w:tc>
          <w:tcPr>
            <w:tcW w:w="5669" w:type="dxa"/>
          </w:tcPr>
          <w:p w14:paraId="67887C00" w14:textId="77777777" w:rsidR="001664D6" w:rsidRPr="001664D6" w:rsidRDefault="001664D6" w:rsidP="001664D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הפקדת מפות</w:t>
            </w:r>
          </w:p>
        </w:tc>
        <w:tc>
          <w:tcPr>
            <w:tcW w:w="567" w:type="dxa"/>
          </w:tcPr>
          <w:p w14:paraId="7A09EA8E" w14:textId="77777777" w:rsidR="001664D6" w:rsidRPr="001664D6" w:rsidRDefault="001664D6" w:rsidP="001664D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2" w:tooltip="הפקדת מפות" w:history="1">
              <w:r w:rsidRPr="001664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697852A1" w14:textId="77777777" w:rsidR="001664D6" w:rsidRPr="001664D6" w:rsidRDefault="001664D6" w:rsidP="001664D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Seif2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  <w:tr w:rsidR="001664D6" w:rsidRPr="001664D6" w14:paraId="066F321C" w14:textId="77777777" w:rsidTr="001664D6">
        <w:tblPrEx>
          <w:tblCellMar>
            <w:top w:w="0" w:type="dxa"/>
            <w:bottom w:w="0" w:type="dxa"/>
          </w:tblCellMar>
        </w:tblPrEx>
        <w:tc>
          <w:tcPr>
            <w:tcW w:w="1247" w:type="dxa"/>
          </w:tcPr>
          <w:p w14:paraId="47EE4D72" w14:textId="77777777" w:rsidR="001664D6" w:rsidRPr="001664D6" w:rsidRDefault="001664D6" w:rsidP="001664D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 xml:space="preserve">סעיף 3 </w:t>
            </w:r>
          </w:p>
        </w:tc>
        <w:tc>
          <w:tcPr>
            <w:tcW w:w="5669" w:type="dxa"/>
          </w:tcPr>
          <w:p w14:paraId="1C1DDE5D" w14:textId="77777777" w:rsidR="001664D6" w:rsidRPr="001664D6" w:rsidRDefault="001664D6" w:rsidP="001664D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Times New Roman"/>
                <w:sz w:val="24"/>
                <w:rtl/>
                <w:lang w:eastAsia="en-US"/>
              </w:rPr>
              <w:t>תחילה ותוקף</w:t>
            </w:r>
          </w:p>
        </w:tc>
        <w:tc>
          <w:tcPr>
            <w:tcW w:w="567" w:type="dxa"/>
          </w:tcPr>
          <w:p w14:paraId="40E8685B" w14:textId="77777777" w:rsidR="001664D6" w:rsidRPr="001664D6" w:rsidRDefault="001664D6" w:rsidP="001664D6">
            <w:pPr>
              <w:spacing w:line="240" w:lineRule="auto"/>
              <w:jc w:val="left"/>
              <w:rPr>
                <w:rStyle w:val="Hyperlink"/>
                <w:rFonts w:hint="cs"/>
                <w:rtl/>
              </w:rPr>
            </w:pPr>
            <w:hyperlink w:anchor="Seif3" w:tooltip="תחילה ותוקף" w:history="1">
              <w:r w:rsidRPr="001664D6">
                <w:rPr>
                  <w:rStyle w:val="Hyperlink"/>
                </w:rPr>
                <w:t>Go</w:t>
              </w:r>
            </w:hyperlink>
          </w:p>
        </w:tc>
        <w:tc>
          <w:tcPr>
            <w:tcW w:w="850" w:type="dxa"/>
          </w:tcPr>
          <w:p w14:paraId="2EF84B58" w14:textId="77777777" w:rsidR="001664D6" w:rsidRPr="001664D6" w:rsidRDefault="001664D6" w:rsidP="001664D6">
            <w:pPr>
              <w:spacing w:line="240" w:lineRule="auto"/>
              <w:jc w:val="left"/>
              <w:rPr>
                <w:rFonts w:cs="Frankruhel" w:hint="cs"/>
                <w:sz w:val="24"/>
                <w:rtl/>
                <w:lang w:eastAsia="en-US"/>
              </w:rPr>
            </w:pPr>
            <w:r>
              <w:rPr>
                <w:rFonts w:cs="Frankruhel"/>
                <w:sz w:val="24"/>
                <w:rtl/>
                <w:lang w:eastAsia="en-US"/>
              </w:rPr>
              <w:fldChar w:fldCharType="begin"/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PAGEREF</w:instrText>
            </w:r>
            <w:r>
              <w:rPr>
                <w:rFonts w:cs="Times New Roman" w:hint="cs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 w:hint="cs"/>
                <w:sz w:val="24"/>
                <w:lang w:eastAsia="en-US"/>
              </w:rPr>
              <w:instrText>Seif3</w:instrText>
            </w:r>
            <w:r>
              <w:rPr>
                <w:rFonts w:cs="Times New Roman"/>
                <w:sz w:val="24"/>
                <w:rtl/>
                <w:lang w:eastAsia="en-US"/>
              </w:rPr>
              <w:instrText xml:space="preserve"> </w:instrText>
            </w:r>
            <w:r>
              <w:rPr>
                <w:rFonts w:cs="Frankruhel"/>
                <w:sz w:val="24"/>
                <w:rtl/>
                <w:lang w:eastAsia="en-US"/>
              </w:rPr>
              <w:fldChar w:fldCharType="separate"/>
            </w:r>
            <w:r>
              <w:rPr>
                <w:rFonts w:cs="Times New Roman"/>
                <w:noProof/>
                <w:sz w:val="24"/>
                <w:rtl/>
                <w:lang w:eastAsia="en-US"/>
              </w:rPr>
              <w:t>2</w:t>
            </w:r>
            <w:r>
              <w:rPr>
                <w:rFonts w:cs="Frankruhel"/>
                <w:sz w:val="24"/>
                <w:rtl/>
                <w:lang w:eastAsia="en-US"/>
              </w:rPr>
              <w:fldChar w:fldCharType="end"/>
            </w:r>
          </w:p>
        </w:tc>
      </w:tr>
    </w:tbl>
    <w:p w14:paraId="72E2060E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640F3587" w14:textId="77777777" w:rsidR="00754AF6" w:rsidRDefault="00754AF6" w:rsidP="00085BFE">
      <w:pPr>
        <w:pStyle w:val="big-header"/>
        <w:ind w:left="0" w:right="1134"/>
        <w:rPr>
          <w:rStyle w:val="default"/>
          <w:rFonts w:hint="cs"/>
          <w:sz w:val="22"/>
          <w:szCs w:val="22"/>
          <w:rtl/>
          <w:lang w:eastAsia="en-US"/>
        </w:rPr>
      </w:pPr>
      <w:r>
        <w:rPr>
          <w:rtl/>
          <w:lang w:eastAsia="en-US"/>
        </w:rPr>
        <w:br w:type="page"/>
      </w:r>
      <w:r w:rsidR="003E084E">
        <w:rPr>
          <w:rFonts w:hint="cs"/>
          <w:rtl/>
          <w:lang w:eastAsia="en-US"/>
        </w:rPr>
        <w:lastRenderedPageBreak/>
        <w:t>צו הרשות הממשלתית להתחדשות עירונית (חידוש תוקף הכרזה על מתחם לפינוי לשם בינוי לתקופה שלישית במסלול רשויות מקומיות) (הוראת שעה), תשע"</w:t>
      </w:r>
      <w:r w:rsidR="0058263A"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>-201</w:t>
      </w:r>
      <w:r w:rsidR="0058263A">
        <w:rPr>
          <w:rFonts w:hint="cs"/>
          <w:rtl/>
          <w:lang w:eastAsia="en-US"/>
        </w:rPr>
        <w:t>9</w:t>
      </w:r>
      <w:r>
        <w:rPr>
          <w:rStyle w:val="default"/>
          <w:sz w:val="22"/>
          <w:szCs w:val="22"/>
          <w:rtl/>
          <w:lang w:eastAsia="en-US"/>
        </w:rPr>
        <w:footnoteReference w:customMarkFollows="1" w:id="1"/>
        <w:t>*</w:t>
      </w:r>
    </w:p>
    <w:p w14:paraId="3685725B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ab/>
      </w:r>
      <w:r>
        <w:rPr>
          <w:rStyle w:val="default"/>
          <w:rFonts w:cs="FrankRuehl"/>
          <w:rtl/>
          <w:lang w:eastAsia="en-US"/>
        </w:rPr>
        <w:t>בתוקף סמכות</w:t>
      </w:r>
      <w:r w:rsidR="00A51F4C">
        <w:rPr>
          <w:rStyle w:val="default"/>
          <w:rFonts w:cs="FrankRuehl" w:hint="cs"/>
          <w:rtl/>
          <w:lang w:eastAsia="en-US"/>
        </w:rPr>
        <w:t>י</w:t>
      </w:r>
      <w:r>
        <w:rPr>
          <w:rStyle w:val="default"/>
          <w:rFonts w:cs="FrankRuehl"/>
          <w:rtl/>
          <w:lang w:eastAsia="en-US"/>
        </w:rPr>
        <w:t xml:space="preserve"> לפי סעיף </w:t>
      </w:r>
      <w:r w:rsidR="00A51F4C">
        <w:rPr>
          <w:rStyle w:val="default"/>
          <w:rFonts w:cs="FrankRuehl" w:hint="cs"/>
          <w:rtl/>
          <w:lang w:eastAsia="en-US"/>
        </w:rPr>
        <w:t>1</w:t>
      </w:r>
      <w:r w:rsidR="00304605">
        <w:rPr>
          <w:rStyle w:val="default"/>
          <w:rFonts w:cs="FrankRuehl" w:hint="cs"/>
          <w:rtl/>
          <w:lang w:eastAsia="en-US"/>
        </w:rPr>
        <w:t>4</w:t>
      </w:r>
      <w:r w:rsidR="00A51F4C">
        <w:rPr>
          <w:rStyle w:val="default"/>
          <w:rFonts w:cs="FrankRuehl" w:hint="cs"/>
          <w:rtl/>
          <w:lang w:eastAsia="en-US"/>
        </w:rPr>
        <w:t>(</w:t>
      </w:r>
      <w:r w:rsidR="00990C50">
        <w:rPr>
          <w:rStyle w:val="default"/>
          <w:rFonts w:cs="FrankRuehl" w:hint="cs"/>
          <w:rtl/>
          <w:lang w:eastAsia="en-US"/>
        </w:rPr>
        <w:t>ב)(</w:t>
      </w:r>
      <w:r w:rsidR="003E084E">
        <w:rPr>
          <w:rStyle w:val="default"/>
          <w:rFonts w:cs="FrankRuehl" w:hint="cs"/>
          <w:rtl/>
          <w:lang w:eastAsia="en-US"/>
        </w:rPr>
        <w:t>3)(א)(2</w:t>
      </w:r>
      <w:r w:rsidR="00A51F4C">
        <w:rPr>
          <w:rStyle w:val="default"/>
          <w:rFonts w:cs="FrankRuehl" w:hint="cs"/>
          <w:rtl/>
          <w:lang w:eastAsia="en-US"/>
        </w:rPr>
        <w:t>) לחוק הרשות הממשלתית להתחדשות עירונית, התשע"ו-2016</w:t>
      </w:r>
      <w:r w:rsidR="00990C50">
        <w:rPr>
          <w:rStyle w:val="default"/>
          <w:rFonts w:cs="FrankRuehl" w:hint="cs"/>
          <w:rtl/>
          <w:lang w:eastAsia="en-US"/>
        </w:rPr>
        <w:t xml:space="preserve"> (להלן </w:t>
      </w:r>
      <w:r w:rsidR="00990C50">
        <w:rPr>
          <w:rStyle w:val="default"/>
          <w:rFonts w:cs="FrankRuehl"/>
          <w:rtl/>
          <w:lang w:eastAsia="en-US"/>
        </w:rPr>
        <w:t>–</w:t>
      </w:r>
      <w:r w:rsidR="00990C50">
        <w:rPr>
          <w:rStyle w:val="default"/>
          <w:rFonts w:cs="FrankRuehl" w:hint="cs"/>
          <w:rtl/>
          <w:lang w:eastAsia="en-US"/>
        </w:rPr>
        <w:t xml:space="preserve"> החוק)</w:t>
      </w:r>
      <w:r>
        <w:rPr>
          <w:rStyle w:val="default"/>
          <w:rFonts w:cs="FrankRuehl"/>
          <w:rtl/>
          <w:lang w:eastAsia="en-US"/>
        </w:rPr>
        <w:t xml:space="preserve">, </w:t>
      </w:r>
      <w:r w:rsidR="003E084E">
        <w:rPr>
          <w:rStyle w:val="default"/>
          <w:rFonts w:cs="FrankRuehl" w:hint="cs"/>
          <w:rtl/>
          <w:lang w:eastAsia="en-US"/>
        </w:rPr>
        <w:t>ו</w:t>
      </w:r>
      <w:r>
        <w:rPr>
          <w:rStyle w:val="default"/>
          <w:rFonts w:cs="FrankRuehl"/>
          <w:rtl/>
          <w:lang w:eastAsia="en-US"/>
        </w:rPr>
        <w:t xml:space="preserve">בהמלצת הוועדה </w:t>
      </w:r>
      <w:r w:rsidR="003E084E">
        <w:rPr>
          <w:rStyle w:val="default"/>
          <w:rFonts w:cs="FrankRuehl" w:hint="cs"/>
          <w:rtl/>
          <w:lang w:eastAsia="en-US"/>
        </w:rPr>
        <w:t xml:space="preserve">המייעצת </w:t>
      </w:r>
      <w:r w:rsidR="00A51F4C">
        <w:rPr>
          <w:rStyle w:val="default"/>
          <w:rFonts w:cs="FrankRuehl" w:hint="cs"/>
          <w:rtl/>
          <w:lang w:eastAsia="en-US"/>
        </w:rPr>
        <w:t>להתחדשות עירונית, אני מצווה לאמור</w:t>
      </w:r>
      <w:r>
        <w:rPr>
          <w:rStyle w:val="default"/>
          <w:rFonts w:cs="FrankRuehl"/>
          <w:rtl/>
          <w:lang w:eastAsia="en-US"/>
        </w:rPr>
        <w:t>:</w:t>
      </w:r>
    </w:p>
    <w:p w14:paraId="3880DFA1" w14:textId="77777777" w:rsidR="00754AF6" w:rsidRDefault="00754AF6" w:rsidP="00632283">
      <w:pPr>
        <w:pStyle w:val="P00"/>
        <w:spacing w:before="72"/>
        <w:ind w:left="0" w:right="1134"/>
        <w:rPr>
          <w:rStyle w:val="default"/>
          <w:rFonts w:cs="FrankRuehl" w:hint="cs"/>
          <w:rtl/>
          <w:lang w:eastAsia="en-US"/>
        </w:rPr>
      </w:pPr>
      <w:bookmarkStart w:id="0" w:name="Seif1"/>
      <w:bookmarkEnd w:id="0"/>
      <w:r>
        <w:rPr>
          <w:lang w:val="he-IL"/>
        </w:rPr>
        <w:pict w14:anchorId="7A84DCF8">
          <v:rect id="_x0000_s1026" style="position:absolute;left:0;text-align:left;margin-left:464.5pt;margin-top:8.05pt;width:75.05pt;height:11.6pt;z-index:251656704" o:allowincell="f" filled="f" stroked="f" strokecolor="lime" strokeweight=".25pt">
            <v:textbox style="mso-next-textbox:#_x0000_s1026" inset="0,0,0,0">
              <w:txbxContent>
                <w:p w14:paraId="7EF372C6" w14:textId="77777777" w:rsidR="00754AF6" w:rsidRDefault="00632283" w:rsidP="00304605">
                  <w:pPr>
                    <w:spacing w:line="160" w:lineRule="exact"/>
                    <w:jc w:val="left"/>
                    <w:rPr>
                      <w:rFonts w:cs="Miriam" w:hint="cs"/>
                      <w:noProof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חידוש</w:t>
                  </w:r>
                  <w:r w:rsidR="00990C50">
                    <w:rPr>
                      <w:rFonts w:cs="Miriam" w:hint="cs"/>
                      <w:szCs w:val="18"/>
                      <w:rtl/>
                      <w:lang w:eastAsia="en-US"/>
                    </w:rPr>
                    <w:t xml:space="preserve"> תוקף ההכרזה</w:t>
                  </w:r>
                </w:p>
              </w:txbxContent>
            </v:textbox>
            <w10:anchorlock/>
          </v:rect>
        </w:pict>
      </w:r>
      <w:r>
        <w:rPr>
          <w:rStyle w:val="big-number"/>
          <w:rtl/>
          <w:lang w:eastAsia="en-US"/>
        </w:rPr>
        <w:t>1</w:t>
      </w:r>
      <w:r>
        <w:rPr>
          <w:rStyle w:val="default"/>
          <w:rFonts w:cs="FrankRuehl"/>
          <w:rtl/>
        </w:rPr>
        <w:t>.</w:t>
      </w:r>
      <w:r>
        <w:rPr>
          <w:rStyle w:val="default"/>
          <w:rFonts w:cs="FrankRuehl"/>
          <w:rtl/>
        </w:rPr>
        <w:tab/>
      </w:r>
      <w:r w:rsidR="00990C50">
        <w:rPr>
          <w:rStyle w:val="default"/>
          <w:rFonts w:cs="FrankRuehl" w:hint="cs"/>
          <w:rtl/>
          <w:lang w:eastAsia="en-US"/>
        </w:rPr>
        <w:t xml:space="preserve">תוקף ההכרזה על </w:t>
      </w:r>
      <w:r>
        <w:rPr>
          <w:rStyle w:val="default"/>
          <w:rFonts w:cs="FrankRuehl"/>
          <w:rtl/>
          <w:lang w:eastAsia="en-US"/>
        </w:rPr>
        <w:t>המתח</w:t>
      </w:r>
      <w:r w:rsidR="00F877B3">
        <w:rPr>
          <w:rStyle w:val="default"/>
          <w:rFonts w:cs="FrankRuehl"/>
          <w:rtl/>
          <w:lang w:eastAsia="en-US"/>
        </w:rPr>
        <w:t xml:space="preserve">ם </w:t>
      </w:r>
      <w:r w:rsidR="003E084E">
        <w:rPr>
          <w:rStyle w:val="default"/>
          <w:rFonts w:cs="FrankRuehl" w:hint="cs"/>
          <w:rtl/>
          <w:lang w:eastAsia="en-US"/>
        </w:rPr>
        <w:t>המפורט להלן</w:t>
      </w:r>
      <w:r w:rsidR="003E699A">
        <w:rPr>
          <w:rStyle w:val="a6"/>
          <w:rtl/>
          <w:lang w:eastAsia="en-US"/>
        </w:rPr>
        <w:footnoteReference w:id="2"/>
      </w:r>
      <w:r w:rsidR="003E699A">
        <w:rPr>
          <w:rStyle w:val="default"/>
          <w:rFonts w:cs="FrankRuehl" w:hint="cs"/>
          <w:rtl/>
          <w:lang w:eastAsia="en-US"/>
        </w:rPr>
        <w:t>,</w:t>
      </w:r>
      <w:r w:rsidR="00263D45">
        <w:rPr>
          <w:rStyle w:val="default"/>
          <w:rFonts w:cs="FrankRuehl" w:hint="cs"/>
          <w:rtl/>
          <w:lang w:eastAsia="en-US"/>
        </w:rPr>
        <w:t xml:space="preserve"> </w:t>
      </w:r>
      <w:r w:rsidR="00990C50">
        <w:rPr>
          <w:rStyle w:val="default"/>
          <w:rFonts w:cs="FrankRuehl" w:hint="cs"/>
          <w:rtl/>
          <w:lang w:eastAsia="en-US"/>
        </w:rPr>
        <w:t>כ</w:t>
      </w:r>
      <w:r w:rsidR="00F877B3">
        <w:rPr>
          <w:rStyle w:val="default"/>
          <w:rFonts w:cs="FrankRuehl"/>
          <w:rtl/>
          <w:lang w:eastAsia="en-US"/>
        </w:rPr>
        <w:t>מתח</w:t>
      </w:r>
      <w:r>
        <w:rPr>
          <w:rStyle w:val="default"/>
          <w:rFonts w:cs="FrankRuehl"/>
          <w:rtl/>
          <w:lang w:eastAsia="en-US"/>
        </w:rPr>
        <w:t xml:space="preserve">ם </w:t>
      </w:r>
      <w:r w:rsidR="00AA448A">
        <w:rPr>
          <w:rStyle w:val="default"/>
          <w:rFonts w:cs="FrankRuehl" w:hint="cs"/>
          <w:rtl/>
          <w:lang w:eastAsia="en-US"/>
        </w:rPr>
        <w:t xml:space="preserve">לפינוי </w:t>
      </w:r>
      <w:r w:rsidR="00304605">
        <w:rPr>
          <w:rStyle w:val="default"/>
          <w:rFonts w:cs="FrankRuehl" w:hint="cs"/>
          <w:rtl/>
          <w:lang w:eastAsia="en-US"/>
        </w:rPr>
        <w:t xml:space="preserve">לשם </w:t>
      </w:r>
      <w:r w:rsidR="00AA448A">
        <w:rPr>
          <w:rStyle w:val="default"/>
          <w:rFonts w:cs="FrankRuehl" w:hint="cs"/>
          <w:rtl/>
          <w:lang w:eastAsia="en-US"/>
        </w:rPr>
        <w:t>בינוי</w:t>
      </w:r>
      <w:r w:rsidR="00990C50">
        <w:rPr>
          <w:rStyle w:val="default"/>
          <w:rFonts w:cs="FrankRuehl" w:hint="cs"/>
          <w:rtl/>
          <w:lang w:eastAsia="en-US"/>
        </w:rPr>
        <w:t xml:space="preserve"> </w:t>
      </w:r>
      <w:r w:rsidR="00632283">
        <w:rPr>
          <w:rStyle w:val="default"/>
          <w:rFonts w:cs="FrankRuehl" w:hint="cs"/>
          <w:rtl/>
          <w:lang w:eastAsia="en-US"/>
        </w:rPr>
        <w:t>מחודש</w:t>
      </w:r>
      <w:r w:rsidR="00990C50">
        <w:rPr>
          <w:rStyle w:val="default"/>
          <w:rFonts w:cs="FrankRuehl" w:hint="cs"/>
          <w:rtl/>
          <w:lang w:eastAsia="en-US"/>
        </w:rPr>
        <w:t xml:space="preserve"> בזה לתקופה </w:t>
      </w:r>
      <w:r w:rsidR="003E084E">
        <w:rPr>
          <w:rStyle w:val="default"/>
          <w:rFonts w:cs="FrankRuehl" w:hint="cs"/>
          <w:rtl/>
          <w:lang w:eastAsia="en-US"/>
        </w:rPr>
        <w:t>שלישית</w:t>
      </w:r>
      <w:r>
        <w:rPr>
          <w:rStyle w:val="default"/>
          <w:rFonts w:cs="FrankRuehl"/>
          <w:rtl/>
          <w:lang w:eastAsia="en-US"/>
        </w:rPr>
        <w:t>:</w:t>
      </w:r>
    </w:p>
    <w:p w14:paraId="431003C5" w14:textId="77777777" w:rsidR="00632283" w:rsidRDefault="003E699A" w:rsidP="00632283">
      <w:pPr>
        <w:pStyle w:val="P00"/>
        <w:spacing w:before="72"/>
        <w:ind w:left="624" w:right="1134"/>
        <w:rPr>
          <w:rStyle w:val="default"/>
          <w:rFonts w:cs="FrankRuehl"/>
          <w:rtl/>
          <w:lang w:eastAsia="en-US"/>
        </w:rPr>
      </w:pPr>
      <w:r>
        <w:rPr>
          <w:rStyle w:val="default"/>
          <w:rFonts w:cs="FrankRuehl" w:hint="cs"/>
          <w:rtl/>
          <w:lang w:eastAsia="en-US"/>
        </w:rPr>
        <w:t>קריית מוצקין</w:t>
      </w:r>
      <w:r w:rsidR="003E084E">
        <w:rPr>
          <w:rStyle w:val="default"/>
          <w:rFonts w:cs="FrankRuehl" w:hint="cs"/>
          <w:rtl/>
          <w:lang w:eastAsia="en-US"/>
        </w:rPr>
        <w:t xml:space="preserve"> </w:t>
      </w:r>
      <w:r w:rsidR="003E084E">
        <w:rPr>
          <w:rStyle w:val="default"/>
          <w:rFonts w:cs="FrankRuehl"/>
          <w:rtl/>
          <w:lang w:eastAsia="en-US"/>
        </w:rPr>
        <w:t>–</w:t>
      </w:r>
      <w:r w:rsidR="003E084E">
        <w:rPr>
          <w:rStyle w:val="default"/>
          <w:rFonts w:cs="FrankRuehl" w:hint="cs"/>
          <w:rtl/>
          <w:lang w:eastAsia="en-US"/>
        </w:rPr>
        <w:t xml:space="preserve"> </w:t>
      </w:r>
      <w:r>
        <w:rPr>
          <w:rStyle w:val="default"/>
          <w:rFonts w:cs="FrankRuehl" w:hint="cs"/>
          <w:rtl/>
          <w:lang w:eastAsia="en-US"/>
        </w:rPr>
        <w:t>יוספטל</w:t>
      </w:r>
      <w:r w:rsidR="00632283">
        <w:rPr>
          <w:rStyle w:val="default"/>
          <w:rFonts w:cs="FrankRuehl" w:hint="cs"/>
          <w:rtl/>
          <w:lang w:eastAsia="en-US"/>
        </w:rPr>
        <w:t>.</w:t>
      </w:r>
    </w:p>
    <w:p w14:paraId="586D8610" w14:textId="77777777" w:rsidR="00AA448A" w:rsidRDefault="00754AF6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1" w:name="Seif2"/>
      <w:bookmarkEnd w:id="1"/>
      <w:r>
        <w:rPr>
          <w:rFonts w:cs="Miriam"/>
          <w:szCs w:val="32"/>
          <w:rtl/>
          <w:lang w:val="he-IL"/>
        </w:rPr>
        <w:pict w14:anchorId="561E1EFD">
          <v:shapetype id="_x0000_t202" coordsize="21600,21600" o:spt="202" path="m,l,21600r21600,l21600,xe">
            <v:stroke joinstyle="miter"/>
            <v:path gradientshapeok="t" o:connecttype="rect"/>
          </v:shapetype>
          <v:shape id="_x0000_s1147" type="#_x0000_t202" style="position:absolute;left:0;text-align:left;margin-left:470.25pt;margin-top:7.1pt;width:1in;height:9.25pt;z-index:251657728" filled="f" stroked="f">
            <v:textbox inset="1mm,0,1mm,0">
              <w:txbxContent>
                <w:p w14:paraId="427D89B9" w14:textId="77777777" w:rsidR="00754AF6" w:rsidRDefault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הפקדת מפות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2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</w:r>
      <w:r w:rsidR="00304605">
        <w:rPr>
          <w:rStyle w:val="default"/>
          <w:rFonts w:cs="FrankRuehl" w:hint="cs"/>
          <w:rtl/>
          <w:lang w:eastAsia="en-US"/>
        </w:rPr>
        <w:t>מפת המתחם המפורט בסעיף 1</w:t>
      </w:r>
      <w:r w:rsidR="008F56F9">
        <w:rPr>
          <w:rStyle w:val="default"/>
          <w:rFonts w:cs="FrankRuehl" w:hint="cs"/>
          <w:rtl/>
          <w:lang w:eastAsia="en-US"/>
        </w:rPr>
        <w:t>,</w:t>
      </w:r>
      <w:r w:rsidR="00304605">
        <w:rPr>
          <w:rStyle w:val="default"/>
          <w:rFonts w:cs="FrankRuehl" w:hint="cs"/>
          <w:rtl/>
          <w:lang w:eastAsia="en-US"/>
        </w:rPr>
        <w:t xml:space="preserve"> מופקדת לעיון הציבור במשרדי הרשות המקומית</w:t>
      </w:r>
      <w:r w:rsidR="003E084E">
        <w:rPr>
          <w:rStyle w:val="default"/>
          <w:rFonts w:cs="FrankRuehl" w:hint="cs"/>
          <w:rtl/>
          <w:lang w:eastAsia="en-US"/>
        </w:rPr>
        <w:t xml:space="preserve"> הנוגעת בדבר</w:t>
      </w:r>
      <w:r w:rsidR="00304605">
        <w:rPr>
          <w:rStyle w:val="default"/>
          <w:rFonts w:cs="FrankRuehl" w:hint="cs"/>
          <w:rtl/>
          <w:lang w:eastAsia="en-US"/>
        </w:rPr>
        <w:t>.</w:t>
      </w:r>
    </w:p>
    <w:p w14:paraId="7CBD0A6C" w14:textId="77777777" w:rsidR="00304605" w:rsidRDefault="00304605" w:rsidP="00F135EA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  <w:bookmarkStart w:id="2" w:name="Seif3"/>
      <w:bookmarkEnd w:id="2"/>
      <w:r>
        <w:rPr>
          <w:rFonts w:cs="Miriam"/>
          <w:szCs w:val="32"/>
          <w:rtl/>
          <w:lang w:val="he-IL"/>
        </w:rPr>
        <w:pict w14:anchorId="5C97A45A">
          <v:shape id="_x0000_s1254" type="#_x0000_t202" style="position:absolute;left:0;text-align:left;margin-left:470.25pt;margin-top:7.1pt;width:1in;height:9.25pt;z-index:251658752" filled="f" stroked="f">
            <v:textbox inset="1mm,0,1mm,0">
              <w:txbxContent>
                <w:p w14:paraId="18E62F70" w14:textId="77777777" w:rsidR="00304605" w:rsidRDefault="00304605" w:rsidP="00304605">
                  <w:pPr>
                    <w:spacing w:line="160" w:lineRule="exact"/>
                    <w:jc w:val="left"/>
                    <w:rPr>
                      <w:rFonts w:cs="Miriam" w:hint="cs"/>
                      <w:szCs w:val="18"/>
                      <w:rtl/>
                      <w:lang w:eastAsia="en-US"/>
                    </w:rPr>
                  </w:pPr>
                  <w:r>
                    <w:rPr>
                      <w:rFonts w:cs="Miriam" w:hint="cs"/>
                      <w:szCs w:val="18"/>
                      <w:rtl/>
                      <w:lang w:eastAsia="en-US"/>
                    </w:rPr>
                    <w:t>תחילה ותוקף</w:t>
                  </w:r>
                </w:p>
              </w:txbxContent>
            </v:textbox>
            <w10:anchorlock/>
          </v:shape>
        </w:pict>
      </w:r>
      <w:r>
        <w:rPr>
          <w:rStyle w:val="big-number"/>
          <w:rFonts w:hint="cs"/>
          <w:rtl/>
          <w:lang w:eastAsia="en-US"/>
        </w:rPr>
        <w:t>3</w:t>
      </w:r>
      <w:r>
        <w:rPr>
          <w:rStyle w:val="default"/>
          <w:rFonts w:cs="FrankRuehl" w:hint="cs"/>
          <w:rtl/>
          <w:lang w:eastAsia="en-US"/>
        </w:rPr>
        <w:t>.</w:t>
      </w:r>
      <w:r>
        <w:rPr>
          <w:rStyle w:val="default"/>
          <w:rFonts w:cs="FrankRuehl" w:hint="cs"/>
          <w:rtl/>
          <w:lang w:eastAsia="en-US"/>
        </w:rPr>
        <w:tab/>
        <w:t xml:space="preserve">תחילתו של צו זה </w:t>
      </w:r>
      <w:r w:rsidR="00F135EA">
        <w:rPr>
          <w:rStyle w:val="default"/>
          <w:rFonts w:cs="FrankRuehl" w:hint="cs"/>
          <w:rtl/>
          <w:lang w:eastAsia="en-US"/>
        </w:rPr>
        <w:t xml:space="preserve">ביום </w:t>
      </w:r>
      <w:r w:rsidR="008F56F9">
        <w:rPr>
          <w:rStyle w:val="default"/>
          <w:rFonts w:cs="FrankRuehl" w:hint="cs"/>
          <w:rtl/>
          <w:lang w:eastAsia="en-US"/>
        </w:rPr>
        <w:t>כ"ז בטבת</w:t>
      </w:r>
      <w:r w:rsidR="00F135EA">
        <w:rPr>
          <w:rStyle w:val="default"/>
          <w:rFonts w:cs="FrankRuehl" w:hint="cs"/>
          <w:rtl/>
          <w:lang w:eastAsia="en-US"/>
        </w:rPr>
        <w:t xml:space="preserve"> התשע"</w:t>
      </w:r>
      <w:r w:rsidR="008F56F9">
        <w:rPr>
          <w:rStyle w:val="default"/>
          <w:rFonts w:cs="FrankRuehl" w:hint="cs"/>
          <w:rtl/>
          <w:lang w:eastAsia="en-US"/>
        </w:rPr>
        <w:t>ט</w:t>
      </w:r>
      <w:r w:rsidR="00F135EA">
        <w:rPr>
          <w:rStyle w:val="default"/>
          <w:rFonts w:cs="FrankRuehl" w:hint="cs"/>
          <w:rtl/>
          <w:lang w:eastAsia="en-US"/>
        </w:rPr>
        <w:t xml:space="preserve"> (</w:t>
      </w:r>
      <w:r w:rsidR="008F56F9">
        <w:rPr>
          <w:rStyle w:val="default"/>
          <w:rFonts w:cs="FrankRuehl" w:hint="cs"/>
          <w:rtl/>
          <w:lang w:eastAsia="en-US"/>
        </w:rPr>
        <w:t>4 בינואר</w:t>
      </w:r>
      <w:r w:rsidR="003E084E">
        <w:rPr>
          <w:rStyle w:val="default"/>
          <w:rFonts w:cs="FrankRuehl" w:hint="cs"/>
          <w:rtl/>
          <w:lang w:eastAsia="en-US"/>
        </w:rPr>
        <w:t xml:space="preserve"> 201</w:t>
      </w:r>
      <w:r w:rsidR="008F56F9">
        <w:rPr>
          <w:rStyle w:val="default"/>
          <w:rFonts w:cs="FrankRuehl" w:hint="cs"/>
          <w:rtl/>
          <w:lang w:eastAsia="en-US"/>
        </w:rPr>
        <w:t>9</w:t>
      </w:r>
      <w:r w:rsidR="00F135EA">
        <w:rPr>
          <w:rStyle w:val="default"/>
          <w:rFonts w:cs="FrankRuehl" w:hint="cs"/>
          <w:rtl/>
          <w:lang w:eastAsia="en-US"/>
        </w:rPr>
        <w:t xml:space="preserve">) </w:t>
      </w:r>
      <w:r w:rsidR="008F56F9">
        <w:rPr>
          <w:rStyle w:val="default"/>
          <w:rFonts w:cs="FrankRuehl" w:hint="cs"/>
          <w:rtl/>
          <w:lang w:eastAsia="en-US"/>
        </w:rPr>
        <w:t xml:space="preserve">(להלן </w:t>
      </w:r>
      <w:r w:rsidR="008F56F9">
        <w:rPr>
          <w:rStyle w:val="default"/>
          <w:rFonts w:cs="FrankRuehl"/>
          <w:rtl/>
          <w:lang w:eastAsia="en-US"/>
        </w:rPr>
        <w:t>–</w:t>
      </w:r>
      <w:r w:rsidR="008F56F9">
        <w:rPr>
          <w:rStyle w:val="default"/>
          <w:rFonts w:cs="FrankRuehl" w:hint="cs"/>
          <w:rtl/>
          <w:lang w:eastAsia="en-US"/>
        </w:rPr>
        <w:t xml:space="preserve"> יום התחילה), </w:t>
      </w:r>
      <w:r w:rsidR="00F135EA">
        <w:rPr>
          <w:rStyle w:val="default"/>
          <w:rFonts w:cs="FrankRuehl" w:hint="cs"/>
          <w:rtl/>
          <w:lang w:eastAsia="en-US"/>
        </w:rPr>
        <w:t xml:space="preserve">ותוקפו לשש שנים </w:t>
      </w:r>
      <w:r w:rsidR="008F56F9">
        <w:rPr>
          <w:rStyle w:val="default"/>
          <w:rFonts w:cs="FrankRuehl" w:hint="cs"/>
          <w:rtl/>
          <w:lang w:eastAsia="en-US"/>
        </w:rPr>
        <w:t>מיום התחילה</w:t>
      </w:r>
      <w:r w:rsidR="00F135EA">
        <w:rPr>
          <w:rStyle w:val="default"/>
          <w:rFonts w:cs="FrankRuehl" w:hint="cs"/>
          <w:rtl/>
          <w:lang w:eastAsia="en-US"/>
        </w:rPr>
        <w:t>.</w:t>
      </w:r>
    </w:p>
    <w:p w14:paraId="7B45BFAD" w14:textId="77777777" w:rsidR="00085BFE" w:rsidRDefault="00085BFE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3DD74629" w14:textId="77777777" w:rsidR="00754AF6" w:rsidRDefault="00754AF6">
      <w:pPr>
        <w:pStyle w:val="P00"/>
        <w:spacing w:before="72"/>
        <w:ind w:left="0" w:right="1134"/>
        <w:rPr>
          <w:rFonts w:hint="cs"/>
          <w:rtl/>
          <w:lang w:eastAsia="en-US"/>
        </w:rPr>
      </w:pPr>
    </w:p>
    <w:p w14:paraId="06AB658B" w14:textId="77777777" w:rsidR="00754AF6" w:rsidRDefault="001E01AE" w:rsidP="00990C50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rFonts w:hint="cs"/>
          <w:rtl/>
          <w:lang w:eastAsia="en-US"/>
        </w:rPr>
        <w:t>ה' באדר א'</w:t>
      </w:r>
      <w:r w:rsidR="003E084E">
        <w:rPr>
          <w:rFonts w:hint="cs"/>
          <w:rtl/>
          <w:lang w:eastAsia="en-US"/>
        </w:rPr>
        <w:t xml:space="preserve"> התשע"</w:t>
      </w:r>
      <w:r>
        <w:rPr>
          <w:rFonts w:hint="cs"/>
          <w:rtl/>
          <w:lang w:eastAsia="en-US"/>
        </w:rPr>
        <w:t>ט</w:t>
      </w:r>
      <w:r w:rsidR="003E084E">
        <w:rPr>
          <w:rFonts w:hint="cs"/>
          <w:rtl/>
          <w:lang w:eastAsia="en-US"/>
        </w:rPr>
        <w:t xml:space="preserve"> (</w:t>
      </w:r>
      <w:r>
        <w:rPr>
          <w:rFonts w:hint="cs"/>
          <w:rtl/>
          <w:lang w:eastAsia="en-US"/>
        </w:rPr>
        <w:t>10 בפברואר</w:t>
      </w:r>
      <w:r w:rsidR="003E084E">
        <w:rPr>
          <w:rFonts w:hint="cs"/>
          <w:rtl/>
          <w:lang w:eastAsia="en-US"/>
        </w:rPr>
        <w:t xml:space="preserve"> 201</w:t>
      </w:r>
      <w:r>
        <w:rPr>
          <w:rFonts w:hint="cs"/>
          <w:rtl/>
          <w:lang w:eastAsia="en-US"/>
        </w:rPr>
        <w:t>9</w:t>
      </w:r>
      <w:r w:rsidR="00754AF6">
        <w:rPr>
          <w:rFonts w:hint="cs"/>
          <w:rtl/>
          <w:lang w:eastAsia="en-US"/>
        </w:rPr>
        <w:t>)</w:t>
      </w:r>
      <w:r w:rsidR="00754AF6">
        <w:rPr>
          <w:rFonts w:hint="cs"/>
          <w:rtl/>
          <w:lang w:eastAsia="en-US"/>
        </w:rPr>
        <w:tab/>
      </w:r>
      <w:r>
        <w:rPr>
          <w:rFonts w:hint="cs"/>
          <w:rtl/>
          <w:lang w:eastAsia="en-US"/>
        </w:rPr>
        <w:t>יפעת שאשא-ביטון</w:t>
      </w:r>
    </w:p>
    <w:p w14:paraId="78634662" w14:textId="77777777" w:rsidR="00754AF6" w:rsidRDefault="00754AF6" w:rsidP="00AA448A">
      <w:pPr>
        <w:pStyle w:val="P00"/>
        <w:tabs>
          <w:tab w:val="clear" w:pos="624"/>
          <w:tab w:val="clear" w:pos="1021"/>
          <w:tab w:val="clear" w:pos="1474"/>
          <w:tab w:val="clear" w:pos="1928"/>
          <w:tab w:val="clear" w:pos="2381"/>
          <w:tab w:val="clear" w:pos="2835"/>
          <w:tab w:val="clear" w:pos="6259"/>
          <w:tab w:val="center" w:pos="5670"/>
        </w:tabs>
        <w:spacing w:before="0"/>
        <w:ind w:left="0" w:right="1134"/>
        <w:rPr>
          <w:rFonts w:hint="cs"/>
          <w:sz w:val="22"/>
          <w:szCs w:val="22"/>
          <w:rtl/>
          <w:lang w:eastAsia="en-US"/>
        </w:rPr>
      </w:pPr>
      <w:r>
        <w:rPr>
          <w:rFonts w:hint="cs"/>
          <w:sz w:val="22"/>
          <w:szCs w:val="22"/>
          <w:rtl/>
          <w:lang w:eastAsia="en-US"/>
        </w:rPr>
        <w:tab/>
      </w:r>
      <w:r w:rsidR="00AA448A">
        <w:rPr>
          <w:rFonts w:hint="cs"/>
          <w:sz w:val="22"/>
          <w:szCs w:val="22"/>
          <w:rtl/>
          <w:lang w:eastAsia="en-US"/>
        </w:rPr>
        <w:t>שר</w:t>
      </w:r>
      <w:r w:rsidR="001E01AE">
        <w:rPr>
          <w:rFonts w:hint="cs"/>
          <w:sz w:val="22"/>
          <w:szCs w:val="22"/>
          <w:rtl/>
          <w:lang w:eastAsia="en-US"/>
        </w:rPr>
        <w:t>ת</w:t>
      </w:r>
      <w:r w:rsidR="00AA448A">
        <w:rPr>
          <w:rFonts w:hint="cs"/>
          <w:sz w:val="22"/>
          <w:szCs w:val="22"/>
          <w:rtl/>
          <w:lang w:eastAsia="en-US"/>
        </w:rPr>
        <w:t xml:space="preserve"> הבינוי והשיכון</w:t>
      </w:r>
    </w:p>
    <w:p w14:paraId="139002FC" w14:textId="77777777" w:rsidR="00391549" w:rsidRDefault="00391549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16CF27E2" w14:textId="77777777" w:rsidR="000D17A2" w:rsidRDefault="000D17A2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2439D4A2" w14:textId="77777777" w:rsidR="001664D6" w:rsidRDefault="001664D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599F01EC" w14:textId="77777777" w:rsidR="001664D6" w:rsidRDefault="001664D6">
      <w:pPr>
        <w:pStyle w:val="P00"/>
        <w:spacing w:before="72"/>
        <w:ind w:left="0" w:right="1134"/>
        <w:rPr>
          <w:rStyle w:val="default"/>
          <w:rFonts w:cs="FrankRuehl"/>
          <w:rtl/>
          <w:lang w:eastAsia="en-US"/>
        </w:rPr>
      </w:pPr>
    </w:p>
    <w:p w14:paraId="4419A7FB" w14:textId="77777777" w:rsidR="001664D6" w:rsidRDefault="001664D6" w:rsidP="001664D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  <w:hyperlink r:id="rId6" w:history="1">
        <w:r>
          <w:rPr>
            <w:rStyle w:val="Hyperlink"/>
            <w:rFonts w:cs="David"/>
            <w:noProof w:val="0"/>
            <w:sz w:val="22"/>
            <w:szCs w:val="24"/>
            <w:rtl/>
          </w:rPr>
          <w:t>הודעה למנויים על עריכה ושינויים במסמכי פסיקה, חקיקה ועוד באתר נבו - הקש כאן</w:t>
        </w:r>
      </w:hyperlink>
    </w:p>
    <w:p w14:paraId="274E1B95" w14:textId="77777777" w:rsidR="000D17A2" w:rsidRPr="001664D6" w:rsidRDefault="000D17A2" w:rsidP="001664D6">
      <w:pPr>
        <w:pStyle w:val="P00"/>
        <w:spacing w:before="72"/>
        <w:ind w:left="0" w:right="1134"/>
        <w:jc w:val="center"/>
        <w:rPr>
          <w:rStyle w:val="default"/>
          <w:rFonts w:cs="David"/>
          <w:color w:val="0000FF"/>
          <w:szCs w:val="24"/>
          <w:u w:val="single"/>
          <w:rtl/>
          <w:lang w:eastAsia="en-US"/>
        </w:rPr>
      </w:pPr>
    </w:p>
    <w:sectPr w:rsidR="000D17A2" w:rsidRPr="001664D6">
      <w:headerReference w:type="even" r:id="rId7"/>
      <w:headerReference w:type="default" r:id="rId8"/>
      <w:footerReference w:type="even" r:id="rId9"/>
      <w:footerReference w:type="default" r:id="rId10"/>
      <w:type w:val="continuous"/>
      <w:pgSz w:w="11906" w:h="16838"/>
      <w:pgMar w:top="1200" w:right="2267" w:bottom="400" w:left="567" w:header="709" w:footer="709" w:gutter="0"/>
      <w:pgNumType w:start="1"/>
      <w:cols w:space="709"/>
      <w:bidi/>
      <w:docGrid w:linePitch="224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3A2A4A7E" w14:textId="77777777" w:rsidR="00FA227D" w:rsidRDefault="00FA227D">
      <w:r>
        <w:separator/>
      </w:r>
    </w:p>
  </w:endnote>
  <w:endnote w:type="continuationSeparator" w:id="0">
    <w:p w14:paraId="4360776F" w14:textId="77777777" w:rsidR="00FA227D" w:rsidRDefault="00FA227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David">
    <w:panose1 w:val="020E0502060401010101"/>
    <w:charset w:val="00"/>
    <w:family w:val="swiss"/>
    <w:pitch w:val="variable"/>
    <w:sig w:usb0="00000803" w:usb1="00000000" w:usb2="00000000" w:usb3="00000000" w:csb0="00000021" w:csb1="00000000"/>
  </w:font>
  <w:font w:name="FrankRuehl">
    <w:panose1 w:val="020E0503060101010101"/>
    <w:charset w:val="00"/>
    <w:family w:val="swiss"/>
    <w:pitch w:val="variable"/>
    <w:sig w:usb0="00000803" w:usb1="00000000" w:usb2="00000000" w:usb3="00000000" w:csb0="00000021" w:csb1="00000000"/>
  </w:font>
  <w:font w:name="Miriam">
    <w:panose1 w:val="020B0502050101010101"/>
    <w:charset w:val="00"/>
    <w:family w:val="swiss"/>
    <w:pitch w:val="variable"/>
    <w:sig w:usb0="00000803" w:usb1="00000000" w:usb2="00000000" w:usb3="00000000" w:csb0="00000021" w:csb1="00000000"/>
  </w:font>
  <w:font w:name="Frankruhel">
    <w:altName w:val="Times New Roman"/>
    <w:panose1 w:val="00000000000000000000"/>
    <w:charset w:val="00"/>
    <w:family w:val="roman"/>
    <w:notTrueType/>
    <w:pitch w:val="default"/>
  </w:font>
  <w:font w:name="TopType Jerushalmi">
    <w:altName w:val="Times New Roman"/>
    <w:panose1 w:val="00000000000000000000"/>
    <w:charset w:val="00"/>
    <w:family w:val="roman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D8514BE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>
      <w:rPr>
        <w:sz w:val="24"/>
        <w:szCs w:val="24"/>
        <w:rtl/>
        <w:lang w:eastAsia="en-US"/>
      </w:rPr>
      <w:t>1</w:t>
    </w:r>
    <w:r>
      <w:rPr>
        <w:rFonts w:hAnsi="FrankRuehl"/>
        <w:sz w:val="24"/>
        <w:szCs w:val="24"/>
        <w:rtl/>
      </w:rPr>
      <w:fldChar w:fldCharType="end"/>
    </w:r>
  </w:p>
  <w:p w14:paraId="15798B2D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72DD0221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10FF65B" w14:textId="77777777" w:rsidR="00754AF6" w:rsidRDefault="00754AF6">
    <w:pPr>
      <w:pStyle w:val="a4"/>
      <w:ind w:left="0" w:right="1134"/>
      <w:jc w:val="center"/>
      <w:rPr>
        <w:sz w:val="24"/>
        <w:szCs w:val="24"/>
        <w:rtl/>
        <w:lang w:eastAsia="en-US"/>
      </w:rPr>
    </w:pPr>
    <w:r>
      <w:rPr>
        <w:rFonts w:hAnsi="FrankRuehl"/>
        <w:sz w:val="24"/>
        <w:szCs w:val="24"/>
        <w:rtl/>
      </w:rPr>
      <w:fldChar w:fldCharType="begin"/>
    </w:r>
    <w:r>
      <w:rPr>
        <w:sz w:val="24"/>
        <w:szCs w:val="24"/>
        <w:rtl/>
        <w:lang w:eastAsia="en-US"/>
      </w:rPr>
      <w:instrText xml:space="preserve"> </w:instrText>
    </w:r>
    <w:r>
      <w:rPr>
        <w:sz w:val="24"/>
        <w:szCs w:val="24"/>
        <w:lang w:eastAsia="en-US"/>
      </w:rPr>
      <w:instrText xml:space="preserve">PAGE </w:instrText>
    </w:r>
    <w:r>
      <w:rPr>
        <w:sz w:val="24"/>
        <w:szCs w:val="24"/>
        <w:rtl/>
        <w:lang w:eastAsia="en-US"/>
      </w:rPr>
      <w:instrText xml:space="preserve"> \* </w:instrText>
    </w:r>
    <w:r>
      <w:rPr>
        <w:sz w:val="24"/>
        <w:szCs w:val="24"/>
        <w:lang w:eastAsia="en-US"/>
      </w:rPr>
      <w:instrText>MERGEFORMAT</w:instrText>
    </w:r>
    <w:r>
      <w:rPr>
        <w:sz w:val="24"/>
        <w:szCs w:val="24"/>
        <w:rtl/>
        <w:lang w:eastAsia="en-US"/>
      </w:rPr>
      <w:instrText xml:space="preserve"> </w:instrText>
    </w:r>
    <w:r>
      <w:rPr>
        <w:rFonts w:hAnsi="FrankRuehl"/>
        <w:sz w:val="24"/>
        <w:szCs w:val="24"/>
        <w:rtl/>
      </w:rPr>
      <w:fldChar w:fldCharType="separate"/>
    </w:r>
    <w:r w:rsidR="001664D6">
      <w:rPr>
        <w:noProof/>
        <w:sz w:val="24"/>
        <w:szCs w:val="24"/>
        <w:rtl/>
        <w:lang w:eastAsia="en-US"/>
      </w:rPr>
      <w:t>2</w:t>
    </w:r>
    <w:r>
      <w:rPr>
        <w:rFonts w:hAnsi="FrankRuehl"/>
        <w:sz w:val="24"/>
        <w:szCs w:val="24"/>
        <w:rtl/>
      </w:rPr>
      <w:fldChar w:fldCharType="end"/>
    </w:r>
  </w:p>
  <w:p w14:paraId="0C6B066F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spacing w:after="60"/>
      <w:ind w:left="0" w:right="1134"/>
      <w:jc w:val="center"/>
      <w:rPr>
        <w:rFonts w:cs="TopType Jerushalmi"/>
        <w:color w:val="000000"/>
        <w:sz w:val="28"/>
        <w:szCs w:val="22"/>
        <w:rtl/>
        <w:lang w:eastAsia="en-US"/>
      </w:rPr>
    </w:pPr>
    <w:r>
      <w:rPr>
        <w:rFonts w:cs="TopType Jerushalmi"/>
        <w:color w:val="000000"/>
        <w:sz w:val="28"/>
        <w:szCs w:val="22"/>
        <w:rtl/>
        <w:lang w:eastAsia="en-US"/>
      </w:rPr>
      <w:t xml:space="preserve">נבו הוצאה לאור בע"מ  </w:t>
    </w:r>
    <w:r>
      <w:rPr>
        <w:rFonts w:cs="TopType Jerushalmi"/>
        <w:color w:val="000000"/>
        <w:sz w:val="28"/>
        <w:szCs w:val="28"/>
        <w:lang w:eastAsia="en-US"/>
      </w:rPr>
      <w:t>nevo.co.il</w:t>
    </w:r>
    <w:r>
      <w:rPr>
        <w:rFonts w:cs="TopType Jerushalmi"/>
        <w:color w:val="000000"/>
        <w:sz w:val="28"/>
        <w:szCs w:val="22"/>
        <w:rtl/>
        <w:lang w:eastAsia="en-US"/>
      </w:rPr>
      <w:t xml:space="preserve">   המאגר המשפטי הישראלי</w:t>
    </w:r>
  </w:p>
  <w:p w14:paraId="00E29018" w14:textId="77777777" w:rsidR="00754AF6" w:rsidRDefault="00754AF6">
    <w:pPr>
      <w:pStyle w:val="a4"/>
      <w:pBdr>
        <w:top w:val="single" w:sz="4" w:space="1" w:color="auto"/>
        <w:between w:val="single" w:sz="4" w:space="0" w:color="auto"/>
      </w:pBdr>
      <w:ind w:left="0" w:right="1134"/>
      <w:jc w:val="left"/>
      <w:rPr>
        <w:rFonts w:cs="TopType Jerushalmi"/>
        <w:color w:val="000000"/>
        <w:sz w:val="14"/>
        <w:szCs w:val="14"/>
        <w:rtl/>
        <w:lang w:eastAsia="en-US"/>
      </w:rPr>
    </w:pPr>
    <w:r>
      <w:rPr>
        <w:rFonts w:cs="TopType Jerushalmi"/>
        <w:color w:val="000000"/>
        <w:sz w:val="14"/>
        <w:szCs w:val="14"/>
        <w:rtl/>
      </w:rPr>
      <w:fldChar w:fldCharType="begin"/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lang w:eastAsia="en-US"/>
      </w:rPr>
      <w:instrText>FILENAME \p  \* MERGEFORMAT</w:instrText>
    </w:r>
    <w:r>
      <w:rPr>
        <w:rFonts w:cs="TopType Jerushalmi"/>
        <w:color w:val="000000"/>
        <w:sz w:val="14"/>
        <w:szCs w:val="14"/>
        <w:rtl/>
        <w:lang w:eastAsia="en-US"/>
      </w:rPr>
      <w:instrText xml:space="preserve"> </w:instrText>
    </w:r>
    <w:r>
      <w:rPr>
        <w:rFonts w:cs="TopType Jerushalmi"/>
        <w:color w:val="000000"/>
        <w:sz w:val="14"/>
        <w:szCs w:val="14"/>
        <w:rtl/>
      </w:rPr>
      <w:fldChar w:fldCharType="separate"/>
    </w:r>
    <w:r w:rsidR="004C7145">
      <w:rPr>
        <w:rFonts w:cs="TopType Jerushalmi"/>
        <w:noProof/>
        <w:color w:val="000000"/>
        <w:sz w:val="14"/>
        <w:szCs w:val="14"/>
        <w:lang w:eastAsia="en-US"/>
      </w:rPr>
      <w:t>Z:\000-law\yael\2015\2015-02-01\hak150128\tav\501_183.doc</w:t>
    </w:r>
    <w:r>
      <w:rPr>
        <w:rFonts w:cs="TopType Jerushalmi"/>
        <w:color w:val="000000"/>
        <w:sz w:val="14"/>
        <w:szCs w:val="14"/>
        <w:rtl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08905BC" w14:textId="77777777" w:rsidR="00FA227D" w:rsidRDefault="00FA227D">
      <w:pPr>
        <w:spacing w:before="60" w:line="240" w:lineRule="auto"/>
        <w:ind w:right="1134"/>
      </w:pPr>
      <w:r>
        <w:separator/>
      </w:r>
    </w:p>
  </w:footnote>
  <w:footnote w:type="continuationSeparator" w:id="0">
    <w:p w14:paraId="1D8AFDC1" w14:textId="77777777" w:rsidR="00FA227D" w:rsidRDefault="00FA227D">
      <w:pPr>
        <w:spacing w:before="60" w:line="240" w:lineRule="auto"/>
        <w:ind w:right="1134"/>
      </w:pPr>
      <w:r>
        <w:separator/>
      </w:r>
    </w:p>
  </w:footnote>
  <w:footnote w:id="1">
    <w:p w14:paraId="2C6C635C" w14:textId="77777777" w:rsidR="006A1770" w:rsidRDefault="00754AF6" w:rsidP="006A1770">
      <w:pPr>
        <w:pStyle w:val="footnote"/>
        <w:tabs>
          <w:tab w:val="left" w:pos="624"/>
          <w:tab w:val="left" w:pos="1021"/>
          <w:tab w:val="left" w:pos="1474"/>
          <w:tab w:val="left" w:pos="1928"/>
          <w:tab w:val="left" w:pos="2381"/>
          <w:tab w:val="left" w:pos="2835"/>
          <w:tab w:val="right" w:leader="dot" w:pos="6259"/>
        </w:tabs>
        <w:spacing w:before="72"/>
        <w:ind w:left="0" w:right="1134"/>
        <w:rPr>
          <w:rFonts w:hint="cs"/>
          <w:rtl/>
          <w:lang w:eastAsia="en-US"/>
        </w:rPr>
      </w:pPr>
      <w:r>
        <w:rPr>
          <w:sz w:val="20"/>
          <w:lang w:eastAsia="en-US"/>
        </w:rPr>
        <w:t>*</w:t>
      </w:r>
      <w:r>
        <w:rPr>
          <w:rFonts w:hint="cs"/>
          <w:sz w:val="20"/>
          <w:rtl/>
          <w:lang w:eastAsia="en-US"/>
        </w:rPr>
        <w:t xml:space="preserve"> פורסם </w:t>
      </w:r>
      <w:hyperlink r:id="rId1" w:history="1">
        <w:r w:rsidRPr="006A1770">
          <w:rPr>
            <w:rStyle w:val="Hyperlink"/>
            <w:rFonts w:hint="cs"/>
            <w:rtl/>
            <w:lang w:eastAsia="en-US"/>
          </w:rPr>
          <w:t xml:space="preserve">ק"ת </w:t>
        </w:r>
        <w:r w:rsidRPr="006A1770">
          <w:rPr>
            <w:rStyle w:val="Hyperlink"/>
            <w:rFonts w:hint="cs"/>
            <w:rtl/>
            <w:lang w:eastAsia="en-US"/>
          </w:rPr>
          <w:t>ת</w:t>
        </w:r>
        <w:r w:rsidRPr="006A1770">
          <w:rPr>
            <w:rStyle w:val="Hyperlink"/>
            <w:rFonts w:hint="cs"/>
            <w:rtl/>
            <w:lang w:eastAsia="en-US"/>
          </w:rPr>
          <w:t>ש</w:t>
        </w:r>
        <w:r w:rsidR="004B42FE" w:rsidRPr="006A1770">
          <w:rPr>
            <w:rStyle w:val="Hyperlink"/>
            <w:rFonts w:hint="cs"/>
            <w:rtl/>
            <w:lang w:eastAsia="en-US"/>
          </w:rPr>
          <w:t>ע"</w:t>
        </w:r>
        <w:r w:rsidR="0058263A" w:rsidRPr="006A1770">
          <w:rPr>
            <w:rStyle w:val="Hyperlink"/>
            <w:rFonts w:hint="cs"/>
            <w:rtl/>
            <w:lang w:eastAsia="en-US"/>
          </w:rPr>
          <w:t>ט</w:t>
        </w:r>
        <w:r w:rsidRPr="006A1770">
          <w:rPr>
            <w:rStyle w:val="Hyperlink"/>
            <w:rFonts w:hint="cs"/>
            <w:rtl/>
            <w:lang w:eastAsia="en-US"/>
          </w:rPr>
          <w:t xml:space="preserve"> מס' </w:t>
        </w:r>
        <w:r w:rsidR="003E699A" w:rsidRPr="006A1770">
          <w:rPr>
            <w:rStyle w:val="Hyperlink"/>
            <w:rFonts w:hint="cs"/>
            <w:rtl/>
            <w:lang w:eastAsia="en-US"/>
          </w:rPr>
          <w:t>8177</w:t>
        </w:r>
      </w:hyperlink>
      <w:r>
        <w:rPr>
          <w:rFonts w:hint="cs"/>
          <w:rtl/>
          <w:lang w:eastAsia="en-US"/>
        </w:rPr>
        <w:t xml:space="preserve"> מיום </w:t>
      </w:r>
      <w:r w:rsidR="003E699A">
        <w:rPr>
          <w:rFonts w:hint="cs"/>
          <w:rtl/>
          <w:lang w:eastAsia="en-US"/>
        </w:rPr>
        <w:t>20.2.2019</w:t>
      </w:r>
      <w:r>
        <w:rPr>
          <w:rFonts w:hint="cs"/>
          <w:rtl/>
          <w:lang w:eastAsia="en-US"/>
        </w:rPr>
        <w:t xml:space="preserve"> עמ' </w:t>
      </w:r>
      <w:r w:rsidR="003E699A">
        <w:rPr>
          <w:rFonts w:hint="cs"/>
          <w:rtl/>
          <w:lang w:eastAsia="en-US"/>
        </w:rPr>
        <w:t>2887</w:t>
      </w:r>
      <w:r>
        <w:rPr>
          <w:rFonts w:hint="cs"/>
          <w:rtl/>
          <w:lang w:eastAsia="en-US"/>
        </w:rPr>
        <w:t>.</w:t>
      </w:r>
    </w:p>
  </w:footnote>
  <w:footnote w:id="2">
    <w:p w14:paraId="552C98B0" w14:textId="77777777" w:rsidR="003E699A" w:rsidRPr="001E01AE" w:rsidRDefault="003E699A" w:rsidP="003E699A">
      <w:pPr>
        <w:pStyle w:val="a5"/>
        <w:spacing w:before="72" w:line="240" w:lineRule="auto"/>
        <w:ind w:right="1134"/>
        <w:rPr>
          <w:rFonts w:ascii="FrankRuehl" w:hAnsi="FrankRuehl" w:cs="FrankRuehl" w:hint="cs"/>
          <w:sz w:val="22"/>
          <w:szCs w:val="22"/>
        </w:rPr>
      </w:pPr>
      <w:r>
        <w:rPr>
          <w:rStyle w:val="a6"/>
        </w:rPr>
        <w:footnoteRef/>
      </w:r>
      <w:r w:rsidRPr="003E084E">
        <w:rPr>
          <w:rFonts w:ascii="FrankRuehl" w:hAnsi="FrankRuehl" w:cs="FrankRuehl"/>
          <w:sz w:val="22"/>
          <w:szCs w:val="22"/>
          <w:rtl/>
        </w:rPr>
        <w:t xml:space="preserve"> ר' צו התכנון והבניה (הכרזה על מתחמים </w:t>
      </w:r>
      <w:r w:rsidR="00C72ACA">
        <w:rPr>
          <w:rFonts w:ascii="FrankRuehl" w:hAnsi="FrankRuehl" w:cs="FrankRuehl" w:hint="cs"/>
          <w:sz w:val="22"/>
          <w:szCs w:val="22"/>
          <w:rtl/>
        </w:rPr>
        <w:t>לפינוי לשם בינוי</w:t>
      </w:r>
      <w:r w:rsidRPr="003E084E">
        <w:rPr>
          <w:rFonts w:ascii="FrankRuehl" w:hAnsi="FrankRuehl" w:cs="FrankRuehl"/>
          <w:sz w:val="22"/>
          <w:szCs w:val="22"/>
          <w:rtl/>
        </w:rPr>
        <w:t>), תשס"</w:t>
      </w:r>
      <w:r w:rsidR="00C72ACA">
        <w:rPr>
          <w:rFonts w:ascii="FrankRuehl" w:hAnsi="FrankRuehl" w:cs="FrankRuehl" w:hint="cs"/>
          <w:sz w:val="22"/>
          <w:szCs w:val="22"/>
          <w:rtl/>
        </w:rPr>
        <w:t>ז</w:t>
      </w:r>
      <w:r w:rsidRPr="003E084E">
        <w:rPr>
          <w:rFonts w:ascii="FrankRuehl" w:hAnsi="FrankRuehl" w:cs="FrankRuehl"/>
          <w:sz w:val="22"/>
          <w:szCs w:val="22"/>
          <w:rtl/>
        </w:rPr>
        <w:t>-200</w:t>
      </w:r>
      <w:r w:rsidR="00C72ACA">
        <w:rPr>
          <w:rFonts w:ascii="FrankRuehl" w:hAnsi="FrankRuehl" w:cs="FrankRuehl" w:hint="cs"/>
          <w:sz w:val="22"/>
          <w:szCs w:val="22"/>
          <w:rtl/>
        </w:rPr>
        <w:t>7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: </w:t>
      </w:r>
      <w:hyperlink r:id="rId2" w:history="1"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תשס"</w:t>
        </w:r>
        <w:r w:rsidR="00C72ACA">
          <w:rPr>
            <w:rStyle w:val="Hyperlink"/>
            <w:rFonts w:ascii="FrankRuehl" w:hAnsi="FrankRuehl" w:cs="FrankRuehl" w:hint="cs"/>
            <w:sz w:val="22"/>
            <w:szCs w:val="22"/>
            <w:rtl/>
          </w:rPr>
          <w:t>ז</w:t>
        </w:r>
        <w:r w:rsidRPr="003E084E">
          <w:rPr>
            <w:rStyle w:val="Hyperlink"/>
            <w:rFonts w:ascii="FrankRuehl" w:hAnsi="FrankRuehl" w:cs="FrankRuehl" w:hint="cs"/>
            <w:sz w:val="22"/>
            <w:szCs w:val="22"/>
            <w:rtl/>
          </w:rPr>
          <w:t xml:space="preserve"> מס' 6</w:t>
        </w:r>
        <w:r w:rsidR="00C72ACA">
          <w:rPr>
            <w:rStyle w:val="Hyperlink"/>
            <w:rFonts w:ascii="FrankRuehl" w:hAnsi="FrankRuehl" w:cs="FrankRuehl" w:hint="cs"/>
            <w:sz w:val="22"/>
            <w:szCs w:val="22"/>
            <w:rtl/>
          </w:rPr>
          <w:t>576</w:t>
        </w:r>
      </w:hyperlink>
      <w:r w:rsidRPr="003E084E">
        <w:rPr>
          <w:rFonts w:ascii="FrankRuehl" w:hAnsi="FrankRuehl" w:cs="FrankRuehl"/>
          <w:sz w:val="22"/>
          <w:szCs w:val="22"/>
          <w:rtl/>
        </w:rPr>
        <w:t xml:space="preserve"> מיום </w:t>
      </w:r>
      <w:r w:rsidR="00C72ACA">
        <w:rPr>
          <w:rFonts w:ascii="FrankRuehl" w:hAnsi="FrankRuehl" w:cs="FrankRuehl" w:hint="cs"/>
          <w:sz w:val="22"/>
          <w:szCs w:val="22"/>
          <w:rtl/>
        </w:rPr>
        <w:t>29.3.2007</w:t>
      </w:r>
      <w:r w:rsidRPr="003E084E">
        <w:rPr>
          <w:rFonts w:ascii="FrankRuehl" w:hAnsi="FrankRuehl" w:cs="FrankRuehl"/>
          <w:sz w:val="22"/>
          <w:szCs w:val="22"/>
          <w:rtl/>
        </w:rPr>
        <w:t xml:space="preserve"> עמ' </w:t>
      </w:r>
      <w:r w:rsidR="00C72ACA">
        <w:rPr>
          <w:rFonts w:ascii="FrankRuehl" w:hAnsi="FrankRuehl" w:cs="FrankRuehl" w:hint="cs"/>
          <w:sz w:val="22"/>
          <w:szCs w:val="22"/>
          <w:rtl/>
        </w:rPr>
        <w:t>684</w:t>
      </w:r>
      <w:r w:rsidRPr="003E084E">
        <w:rPr>
          <w:rFonts w:ascii="FrankRuehl" w:hAnsi="FrankRuehl" w:cs="FrankRuehl"/>
          <w:sz w:val="22"/>
          <w:szCs w:val="22"/>
          <w:rtl/>
        </w:rPr>
        <w:t>.</w:t>
      </w:r>
      <w:r w:rsidR="00426894" w:rsidRPr="001E01AE">
        <w:rPr>
          <w:rFonts w:ascii="FrankRuehl" w:hAnsi="FrankRuehl" w:cs="FrankRuehl" w:hint="cs"/>
          <w:sz w:val="22"/>
          <w:szCs w:val="22"/>
          <w:rtl/>
        </w:rPr>
        <w:t xml:space="preserve"> הו</w:t>
      </w:r>
      <w:r w:rsidR="001E01AE" w:rsidRPr="001E01AE">
        <w:rPr>
          <w:rFonts w:ascii="FrankRuehl" w:hAnsi="FrankRuehl" w:cs="FrankRuehl" w:hint="cs"/>
          <w:sz w:val="22"/>
          <w:szCs w:val="22"/>
          <w:rtl/>
        </w:rPr>
        <w:t xml:space="preserve">ארך </w:t>
      </w:r>
      <w:hyperlink r:id="rId3" w:history="1">
        <w:r w:rsidR="001E01AE" w:rsidRPr="001E01AE">
          <w:rPr>
            <w:rStyle w:val="Hyperlink"/>
            <w:rFonts w:ascii="FrankRuehl" w:hAnsi="FrankRuehl" w:cs="FrankRuehl" w:hint="cs"/>
            <w:sz w:val="22"/>
            <w:szCs w:val="22"/>
            <w:rtl/>
          </w:rPr>
          <w:t>ק"ת תשע"ג מס' 7230</w:t>
        </w:r>
      </w:hyperlink>
      <w:r w:rsidR="001E01AE" w:rsidRPr="001E01AE">
        <w:rPr>
          <w:rFonts w:ascii="FrankRuehl" w:hAnsi="FrankRuehl" w:cs="FrankRuehl" w:hint="cs"/>
          <w:sz w:val="22"/>
          <w:szCs w:val="22"/>
          <w:rtl/>
        </w:rPr>
        <w:t xml:space="preserve"> מיום 10.3.2013 עמ' 860.</w:t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CFD559A" w14:textId="77777777" w:rsidR="00754AF6" w:rsidRDefault="00754AF6">
    <w:pPr>
      <w:pStyle w:val="a3"/>
      <w:spacing w:line="220" w:lineRule="exact"/>
      <w:ind w:left="0" w:right="1134"/>
      <w:jc w:val="center"/>
      <w:rPr>
        <w:color w:val="000000"/>
        <w:sz w:val="28"/>
        <w:szCs w:val="28"/>
        <w:rtl/>
        <w:lang w:eastAsia="en-US"/>
      </w:rPr>
    </w:pPr>
    <w:r>
      <w:rPr>
        <w:color w:val="000000"/>
        <w:sz w:val="28"/>
        <w:szCs w:val="28"/>
        <w:rtl/>
        <w:lang w:eastAsia="en-US"/>
      </w:rPr>
      <w:t>תקנות התקשורת (בזק ושידורים) (תשלומים בעד שירותי בזק המפורטים בתוספת לחוק), תשס"ב- 2002</w:t>
    </w:r>
  </w:p>
  <w:p w14:paraId="5DC9D0E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225F4313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F1335" w14:textId="77777777" w:rsidR="00754AF6" w:rsidRDefault="00754AF6" w:rsidP="00085BFE">
    <w:pPr>
      <w:pStyle w:val="a3"/>
      <w:spacing w:line="220" w:lineRule="exact"/>
      <w:ind w:left="0" w:right="1134"/>
      <w:jc w:val="center"/>
      <w:rPr>
        <w:rFonts w:hint="cs"/>
        <w:color w:val="000000"/>
        <w:sz w:val="28"/>
        <w:szCs w:val="28"/>
        <w:rtl/>
        <w:lang w:eastAsia="en-US"/>
      </w:rPr>
    </w:pPr>
    <w:r>
      <w:rPr>
        <w:rFonts w:hint="cs"/>
        <w:color w:val="000000"/>
        <w:sz w:val="28"/>
        <w:szCs w:val="28"/>
        <w:rtl/>
        <w:lang w:eastAsia="en-US"/>
      </w:rPr>
      <w:t xml:space="preserve">צו </w:t>
    </w:r>
    <w:r w:rsidR="00B20F17">
      <w:rPr>
        <w:rFonts w:hint="cs"/>
        <w:color w:val="000000"/>
        <w:sz w:val="28"/>
        <w:szCs w:val="28"/>
        <w:rtl/>
        <w:lang w:eastAsia="en-US"/>
      </w:rPr>
      <w:t>הרשות הממשלתית להתחדשות עירונית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(</w:t>
    </w:r>
    <w:r w:rsidR="00085BFE">
      <w:rPr>
        <w:rFonts w:hint="cs"/>
        <w:color w:val="000000"/>
        <w:sz w:val="28"/>
        <w:szCs w:val="28"/>
        <w:rtl/>
        <w:lang w:eastAsia="en-US"/>
      </w:rPr>
      <w:t>חידוש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תוקף</w:t>
    </w:r>
    <w:r w:rsidR="00085BFE">
      <w:rPr>
        <w:rFonts w:hint="cs"/>
        <w:color w:val="000000"/>
        <w:sz w:val="28"/>
        <w:szCs w:val="28"/>
        <w:rtl/>
        <w:lang w:eastAsia="en-US"/>
      </w:rPr>
      <w:t xml:space="preserve"> הכרזה</w:t>
    </w:r>
    <w:r w:rsidR="001A4465">
      <w:rPr>
        <w:rFonts w:hint="cs"/>
        <w:color w:val="000000"/>
        <w:sz w:val="28"/>
        <w:szCs w:val="28"/>
        <w:rtl/>
        <w:lang w:eastAsia="en-US"/>
      </w:rPr>
      <w:t xml:space="preserve"> על מתח</w:t>
    </w:r>
    <w:r>
      <w:rPr>
        <w:rFonts w:hint="cs"/>
        <w:color w:val="000000"/>
        <w:sz w:val="28"/>
        <w:szCs w:val="28"/>
        <w:rtl/>
        <w:lang w:eastAsia="en-US"/>
      </w:rPr>
      <w:t xml:space="preserve">ם לפינוי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לשם </w:t>
    </w:r>
    <w:r w:rsidR="00B20F17">
      <w:rPr>
        <w:rFonts w:hint="cs"/>
        <w:color w:val="000000"/>
        <w:sz w:val="28"/>
        <w:szCs w:val="28"/>
        <w:rtl/>
        <w:lang w:eastAsia="en-US"/>
      </w:rPr>
      <w:t xml:space="preserve">בינוי 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לתקופה </w:t>
    </w:r>
    <w:r w:rsidR="003E084E">
      <w:rPr>
        <w:rFonts w:hint="cs"/>
        <w:color w:val="000000"/>
        <w:sz w:val="28"/>
        <w:szCs w:val="28"/>
        <w:rtl/>
        <w:lang w:eastAsia="en-US"/>
      </w:rPr>
      <w:t>שלישית</w:t>
    </w:r>
    <w:r w:rsidR="00990C50">
      <w:rPr>
        <w:rFonts w:hint="cs"/>
        <w:color w:val="000000"/>
        <w:sz w:val="28"/>
        <w:szCs w:val="28"/>
        <w:rtl/>
        <w:lang w:eastAsia="en-US"/>
      </w:rPr>
      <w:t xml:space="preserve"> </w:t>
    </w:r>
    <w:r>
      <w:rPr>
        <w:rFonts w:hint="cs"/>
        <w:color w:val="000000"/>
        <w:sz w:val="28"/>
        <w:szCs w:val="28"/>
        <w:rtl/>
        <w:lang w:eastAsia="en-US"/>
      </w:rPr>
      <w:t xml:space="preserve">במסלול </w:t>
    </w:r>
    <w:r w:rsidR="00304605">
      <w:rPr>
        <w:rFonts w:hint="cs"/>
        <w:color w:val="000000"/>
        <w:sz w:val="28"/>
        <w:szCs w:val="28"/>
        <w:rtl/>
        <w:lang w:eastAsia="en-US"/>
      </w:rPr>
      <w:t>רשויות מקומיות</w:t>
    </w:r>
    <w:r>
      <w:rPr>
        <w:rFonts w:hint="cs"/>
        <w:color w:val="000000"/>
        <w:sz w:val="28"/>
        <w:szCs w:val="28"/>
        <w:rtl/>
        <w:lang w:eastAsia="en-US"/>
      </w:rPr>
      <w:t>)</w:t>
    </w:r>
    <w:r w:rsidR="003E084E">
      <w:rPr>
        <w:rFonts w:hint="cs"/>
        <w:color w:val="000000"/>
        <w:sz w:val="28"/>
        <w:szCs w:val="28"/>
        <w:rtl/>
        <w:lang w:eastAsia="en-US"/>
      </w:rPr>
      <w:t xml:space="preserve"> (הוראת שעה)</w:t>
    </w:r>
    <w:r>
      <w:rPr>
        <w:color w:val="000000"/>
        <w:sz w:val="28"/>
        <w:szCs w:val="28"/>
        <w:rtl/>
        <w:lang w:eastAsia="en-US"/>
      </w:rPr>
      <w:t xml:space="preserve">, </w:t>
    </w:r>
    <w:r w:rsidR="004B42FE">
      <w:rPr>
        <w:rFonts w:hint="cs"/>
        <w:color w:val="000000"/>
        <w:sz w:val="28"/>
        <w:szCs w:val="28"/>
        <w:rtl/>
        <w:lang w:eastAsia="en-US"/>
      </w:rPr>
      <w:t>תשע"</w:t>
    </w:r>
    <w:r w:rsidR="0058263A">
      <w:rPr>
        <w:rFonts w:hint="cs"/>
        <w:color w:val="000000"/>
        <w:sz w:val="28"/>
        <w:szCs w:val="28"/>
        <w:rtl/>
        <w:lang w:eastAsia="en-US"/>
      </w:rPr>
      <w:t>ט</w:t>
    </w:r>
    <w:r w:rsidR="004B42FE">
      <w:rPr>
        <w:rFonts w:hint="cs"/>
        <w:color w:val="000000"/>
        <w:sz w:val="28"/>
        <w:szCs w:val="28"/>
        <w:rtl/>
        <w:lang w:eastAsia="en-US"/>
      </w:rPr>
      <w:t>-</w:t>
    </w:r>
    <w:r w:rsidR="00B20F17">
      <w:rPr>
        <w:rFonts w:hint="cs"/>
        <w:color w:val="000000"/>
        <w:sz w:val="28"/>
        <w:szCs w:val="28"/>
        <w:rtl/>
        <w:lang w:eastAsia="en-US"/>
      </w:rPr>
      <w:t>201</w:t>
    </w:r>
    <w:r w:rsidR="0058263A">
      <w:rPr>
        <w:rFonts w:hint="cs"/>
        <w:color w:val="000000"/>
        <w:sz w:val="28"/>
        <w:szCs w:val="28"/>
        <w:rtl/>
        <w:lang w:eastAsia="en-US"/>
      </w:rPr>
      <w:t>9</w:t>
    </w:r>
  </w:p>
  <w:p w14:paraId="33808E21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  <w:r>
      <w:rPr>
        <w:color w:val="000000"/>
        <w:sz w:val="26"/>
        <w:szCs w:val="26"/>
        <w:rtl/>
        <w:lang w:eastAsia="en-US"/>
      </w:rPr>
      <w:t>נוסח מלא ומעודכן</w:t>
    </w:r>
  </w:p>
  <w:p w14:paraId="65D95277" w14:textId="77777777" w:rsidR="00754AF6" w:rsidRDefault="00754AF6">
    <w:pPr>
      <w:pStyle w:val="a3"/>
      <w:pBdr>
        <w:top w:val="single" w:sz="4" w:space="0" w:color="auto"/>
      </w:pBdr>
      <w:spacing w:line="220" w:lineRule="exact"/>
      <w:ind w:left="0" w:right="1134"/>
      <w:jc w:val="center"/>
      <w:rPr>
        <w:color w:val="000000"/>
        <w:sz w:val="26"/>
        <w:szCs w:val="26"/>
        <w:rtl/>
        <w:lang w:eastAsia="en-US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oNotTrackMoves/>
  <w:defaultTabStop w:val="720"/>
  <w:doNotHyphenateCaps/>
  <w:drawingGridHorizontalSpacing w:val="165"/>
  <w:drawingGridVerticalSpacing w:val="112"/>
  <w:displayHorizontalDrawingGridEvery w:val="0"/>
  <w:displayVerticalDrawingGridEvery w:val="2"/>
  <w:characterSpacingControl w:val="compressPunctuation"/>
  <w:hdrShapeDefaults>
    <o:shapedefaults v:ext="edit" spidmax="3074" fill="f" fillcolor="white" stroke="f">
      <v:fill color="white" on="f"/>
      <v:stroke on="f"/>
      <v:textbox inset="1mm,0,1mm,0"/>
    </o:shapedefaults>
  </w:hdrShapeDefaults>
  <w:footnotePr>
    <w:footnote w:id="-1"/>
    <w:footnote w:id="0"/>
  </w:footnotePr>
  <w:endnotePr>
    <w:endnote w:id="-1"/>
    <w:endnote w:id="0"/>
  </w:endnotePr>
  <w:compat>
    <w:footnoteLayoutLikeWW8/>
    <w:shapeLayoutLikeWW8/>
    <w:alignTablesRowByRow/>
    <w:forgetLastTabAlignment/>
    <w:doNotUseHTMLParagraphAutoSpacing/>
    <w:layoutRawTableWidth/>
    <w:layoutTableRowsApart/>
    <w:useWord97LineBreakRules/>
    <w:doNotBreakWrappedTables/>
    <w:doNotSnapToGridInCell/>
    <w:selectFldWithFirstOrLastChar/>
    <w:doNotWrapTextWithPunct/>
    <w:doNotUseEastAsianBreakRules/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4152AE"/>
    <w:rsid w:val="000261B4"/>
    <w:rsid w:val="00056323"/>
    <w:rsid w:val="00060F67"/>
    <w:rsid w:val="000744C1"/>
    <w:rsid w:val="00085BFE"/>
    <w:rsid w:val="000D17A2"/>
    <w:rsid w:val="001504CA"/>
    <w:rsid w:val="001664D6"/>
    <w:rsid w:val="001A4465"/>
    <w:rsid w:val="001E01AE"/>
    <w:rsid w:val="001F2178"/>
    <w:rsid w:val="00263D45"/>
    <w:rsid w:val="002B41FB"/>
    <w:rsid w:val="002B6491"/>
    <w:rsid w:val="002E505F"/>
    <w:rsid w:val="00304605"/>
    <w:rsid w:val="00391549"/>
    <w:rsid w:val="003D7E84"/>
    <w:rsid w:val="003E084E"/>
    <w:rsid w:val="003E3493"/>
    <w:rsid w:val="003E699A"/>
    <w:rsid w:val="004152AE"/>
    <w:rsid w:val="00426894"/>
    <w:rsid w:val="00480278"/>
    <w:rsid w:val="004B42FE"/>
    <w:rsid w:val="004C7145"/>
    <w:rsid w:val="004C7C97"/>
    <w:rsid w:val="004D6859"/>
    <w:rsid w:val="005353C7"/>
    <w:rsid w:val="005531F6"/>
    <w:rsid w:val="00561B49"/>
    <w:rsid w:val="0058263A"/>
    <w:rsid w:val="005E2B2B"/>
    <w:rsid w:val="00632283"/>
    <w:rsid w:val="006758DD"/>
    <w:rsid w:val="00694840"/>
    <w:rsid w:val="006A1770"/>
    <w:rsid w:val="006A260A"/>
    <w:rsid w:val="006A6AC7"/>
    <w:rsid w:val="006C0AEB"/>
    <w:rsid w:val="006E3584"/>
    <w:rsid w:val="006F5E49"/>
    <w:rsid w:val="007146EB"/>
    <w:rsid w:val="00754AF6"/>
    <w:rsid w:val="00757F93"/>
    <w:rsid w:val="00771CEC"/>
    <w:rsid w:val="007B77B2"/>
    <w:rsid w:val="008E34C6"/>
    <w:rsid w:val="008E3917"/>
    <w:rsid w:val="008F56F9"/>
    <w:rsid w:val="00921592"/>
    <w:rsid w:val="00935E34"/>
    <w:rsid w:val="009858AC"/>
    <w:rsid w:val="009878AA"/>
    <w:rsid w:val="00990C50"/>
    <w:rsid w:val="00A15EF9"/>
    <w:rsid w:val="00A51F4C"/>
    <w:rsid w:val="00A65D26"/>
    <w:rsid w:val="00AA448A"/>
    <w:rsid w:val="00B13640"/>
    <w:rsid w:val="00B20F17"/>
    <w:rsid w:val="00B26408"/>
    <w:rsid w:val="00B54BDB"/>
    <w:rsid w:val="00B77ECA"/>
    <w:rsid w:val="00BC040B"/>
    <w:rsid w:val="00BC1F4B"/>
    <w:rsid w:val="00BF01E0"/>
    <w:rsid w:val="00C1426A"/>
    <w:rsid w:val="00C2357E"/>
    <w:rsid w:val="00C32AA5"/>
    <w:rsid w:val="00C72ACA"/>
    <w:rsid w:val="00C908BF"/>
    <w:rsid w:val="00CF2744"/>
    <w:rsid w:val="00CF518D"/>
    <w:rsid w:val="00D3187F"/>
    <w:rsid w:val="00D91DFA"/>
    <w:rsid w:val="00DC35FD"/>
    <w:rsid w:val="00DD1E3E"/>
    <w:rsid w:val="00DF17E6"/>
    <w:rsid w:val="00E208D0"/>
    <w:rsid w:val="00E74F6C"/>
    <w:rsid w:val="00EE4448"/>
    <w:rsid w:val="00EF6DAF"/>
    <w:rsid w:val="00F135EA"/>
    <w:rsid w:val="00F57763"/>
    <w:rsid w:val="00F877B3"/>
    <w:rsid w:val="00FA227D"/>
    <w:rsid w:val="00FC3F0D"/>
    <w:rsid w:val="00FF3E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L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3074" fill="f" fillcolor="white" stroke="f">
      <v:fill color="white" on="f"/>
      <v:stroke on="f"/>
      <v:textbox inset="1mm,0,1mm,0"/>
    </o:shapedefaults>
    <o:shapelayout v:ext="edit">
      <o:idmap v:ext="edit" data="1"/>
    </o:shapelayout>
  </w:shapeDefaults>
  <w:decimalSymbol w:val="."/>
  <w:listSeparator w:val=","/>
  <w14:docId w14:val="63029C57"/>
  <w15:chartTrackingRefBased/>
  <w15:docId w15:val="{507459BF-9671-4F59-9E41-3506A30683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IL" w:eastAsia="en-IL" w:bidi="he-IL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">
    <w:name w:val="Normal"/>
    <w:qFormat/>
    <w:pPr>
      <w:autoSpaceDE w:val="0"/>
      <w:autoSpaceDN w:val="0"/>
      <w:bidi/>
      <w:spacing w:line="360" w:lineRule="auto"/>
      <w:jc w:val="both"/>
    </w:pPr>
    <w:rPr>
      <w:rFonts w:cs="David"/>
      <w:sz w:val="22"/>
      <w:szCs w:val="24"/>
      <w:lang w:val="en-US" w:eastAsia="he-IL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customStyle="1" w:styleId="big-header">
    <w:name w:val="big-header"/>
    <w:basedOn w:val="a"/>
    <w:pPr>
      <w:keepNext/>
      <w:keepLines/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</w:tabs>
      <w:suppressAutoHyphens/>
      <w:spacing w:before="440" w:after="120" w:line="240" w:lineRule="auto"/>
      <w:ind w:left="2835"/>
      <w:jc w:val="center"/>
    </w:pPr>
    <w:rPr>
      <w:rFonts w:cs="FrankRuehl"/>
      <w:noProof/>
      <w:sz w:val="20"/>
      <w:szCs w:val="32"/>
    </w:rPr>
  </w:style>
  <w:style w:type="paragraph" w:customStyle="1" w:styleId="P00">
    <w:name w:val="P00"/>
    <w:pPr>
      <w:widowControl w:val="0"/>
      <w:tabs>
        <w:tab w:val="left" w:pos="624"/>
        <w:tab w:val="left" w:pos="1021"/>
        <w:tab w:val="left" w:pos="1474"/>
        <w:tab w:val="left" w:pos="1928"/>
        <w:tab w:val="left" w:pos="2381"/>
        <w:tab w:val="left" w:pos="2835"/>
        <w:tab w:val="right" w:leader="dot" w:pos="6259"/>
      </w:tabs>
      <w:suppressAutoHyphens/>
      <w:autoSpaceDE w:val="0"/>
      <w:autoSpaceDN w:val="0"/>
      <w:bidi/>
      <w:spacing w:before="60"/>
      <w:ind w:left="2835"/>
      <w:jc w:val="both"/>
    </w:pPr>
    <w:rPr>
      <w:rFonts w:cs="FrankRuehl"/>
      <w:noProof/>
      <w:szCs w:val="26"/>
      <w:lang w:val="en-US" w:eastAsia="he-IL"/>
    </w:rPr>
  </w:style>
  <w:style w:type="paragraph" w:customStyle="1" w:styleId="P01">
    <w:name w:val="P01"/>
    <w:basedOn w:val="P00"/>
    <w:pPr>
      <w:ind w:right="624" w:hanging="624"/>
    </w:pPr>
  </w:style>
  <w:style w:type="paragraph" w:customStyle="1" w:styleId="P02">
    <w:name w:val="P02"/>
    <w:basedOn w:val="P00"/>
    <w:pPr>
      <w:ind w:right="1021" w:hanging="1021"/>
    </w:pPr>
  </w:style>
  <w:style w:type="paragraph" w:customStyle="1" w:styleId="P03">
    <w:name w:val="P03"/>
    <w:basedOn w:val="P00"/>
    <w:pPr>
      <w:ind w:right="1474" w:hanging="1474"/>
    </w:pPr>
  </w:style>
  <w:style w:type="paragraph" w:customStyle="1" w:styleId="P04">
    <w:name w:val="P04"/>
    <w:basedOn w:val="P00"/>
    <w:pPr>
      <w:ind w:right="1928" w:hanging="1928"/>
    </w:pPr>
  </w:style>
  <w:style w:type="paragraph" w:customStyle="1" w:styleId="P05">
    <w:name w:val="P05"/>
    <w:basedOn w:val="P00"/>
    <w:pPr>
      <w:ind w:right="2381" w:hanging="2381"/>
    </w:pPr>
  </w:style>
  <w:style w:type="paragraph" w:customStyle="1" w:styleId="P11">
    <w:name w:val="P11"/>
    <w:basedOn w:val="P00"/>
    <w:pPr>
      <w:tabs>
        <w:tab w:val="clear" w:pos="624"/>
      </w:tabs>
      <w:ind w:right="624"/>
    </w:pPr>
  </w:style>
  <w:style w:type="paragraph" w:customStyle="1" w:styleId="P22">
    <w:name w:val="P22"/>
    <w:basedOn w:val="P00"/>
    <w:pPr>
      <w:tabs>
        <w:tab w:val="clear" w:pos="624"/>
        <w:tab w:val="clear" w:pos="1021"/>
      </w:tabs>
      <w:ind w:right="1021"/>
    </w:pPr>
  </w:style>
  <w:style w:type="paragraph" w:customStyle="1" w:styleId="P33">
    <w:name w:val="P33"/>
    <w:basedOn w:val="P00"/>
    <w:pPr>
      <w:tabs>
        <w:tab w:val="clear" w:pos="624"/>
        <w:tab w:val="clear" w:pos="1021"/>
        <w:tab w:val="clear" w:pos="1474"/>
      </w:tabs>
      <w:ind w:right="1474"/>
    </w:pPr>
  </w:style>
  <w:style w:type="paragraph" w:customStyle="1" w:styleId="P44">
    <w:name w:val="P44"/>
    <w:basedOn w:val="P00"/>
    <w:pPr>
      <w:tabs>
        <w:tab w:val="clear" w:pos="624"/>
        <w:tab w:val="clear" w:pos="1021"/>
        <w:tab w:val="clear" w:pos="1474"/>
        <w:tab w:val="clear" w:pos="1928"/>
      </w:tabs>
      <w:ind w:right="1928"/>
    </w:pPr>
  </w:style>
  <w:style w:type="paragraph" w:customStyle="1" w:styleId="P55">
    <w:name w:val="P55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</w:tabs>
      <w:ind w:right="2381"/>
    </w:pPr>
  </w:style>
  <w:style w:type="character" w:customStyle="1" w:styleId="default">
    <w:name w:val="default"/>
    <w:rPr>
      <w:rFonts w:ascii="Times New Roman" w:hAnsi="Times New Roman" w:cs="Times New Roman"/>
      <w:sz w:val="20"/>
      <w:szCs w:val="26"/>
    </w:rPr>
  </w:style>
  <w:style w:type="character" w:customStyle="1" w:styleId="big-number">
    <w:name w:val="big-number"/>
    <w:rPr>
      <w:rFonts w:ascii="Times New Roman" w:hAnsi="Times New Roman" w:cs="Miriam"/>
      <w:sz w:val="20"/>
      <w:szCs w:val="32"/>
    </w:rPr>
  </w:style>
  <w:style w:type="paragraph" w:customStyle="1" w:styleId="sidenote">
    <w:name w:val="sidenote"/>
    <w:pPr>
      <w:keepNext/>
      <w:keepLines/>
      <w:widowControl w:val="0"/>
      <w:autoSpaceDE w:val="0"/>
      <w:autoSpaceDN w:val="0"/>
      <w:bidi/>
      <w:spacing w:line="-180" w:lineRule="auto"/>
      <w:ind w:left="9356" w:right="-1701"/>
    </w:pPr>
    <w:rPr>
      <w:rFonts w:cs="Miriam"/>
      <w:noProof/>
      <w:szCs w:val="18"/>
      <w:lang w:val="en-US" w:eastAsia="he-IL"/>
    </w:rPr>
  </w:style>
  <w:style w:type="paragraph" w:customStyle="1" w:styleId="medium-header">
    <w:name w:val="medium-header"/>
    <w:basedOn w:val="P00"/>
    <w:pPr>
      <w:keepNext/>
      <w:keepLines/>
      <w:tabs>
        <w:tab w:val="clear" w:pos="6259"/>
      </w:tabs>
      <w:spacing w:before="72"/>
      <w:jc w:val="center"/>
    </w:pPr>
  </w:style>
  <w:style w:type="paragraph" w:customStyle="1" w:styleId="header-2">
    <w:name w:val="header-2"/>
    <w:basedOn w:val="P00"/>
    <w:pPr>
      <w:keepNext/>
      <w:keepLines/>
      <w:tabs>
        <w:tab w:val="clear" w:pos="6259"/>
      </w:tabs>
      <w:spacing w:before="240"/>
      <w:jc w:val="center"/>
    </w:pPr>
    <w:rPr>
      <w:rFonts w:cs="Miriam"/>
      <w:szCs w:val="20"/>
    </w:rPr>
  </w:style>
  <w:style w:type="character" w:customStyle="1" w:styleId="super">
    <w:name w:val="super"/>
    <w:rPr>
      <w:rFonts w:ascii="Times New Roman" w:hAnsi="Times New Roman" w:cs="Miriam"/>
      <w:position w:val="4"/>
      <w:sz w:val="24"/>
      <w:szCs w:val="16"/>
      <w:lang w:val="en-US"/>
    </w:rPr>
  </w:style>
  <w:style w:type="paragraph" w:customStyle="1" w:styleId="page">
    <w:name w:val="page"/>
    <w:pPr>
      <w:widowControl w:val="0"/>
      <w:autoSpaceDE w:val="0"/>
      <w:autoSpaceDN w:val="0"/>
      <w:bidi/>
    </w:pPr>
    <w:rPr>
      <w:rFonts w:cs="David"/>
      <w:noProof/>
      <w:position w:val="4"/>
      <w:szCs w:val="22"/>
      <w:lang w:val="en-US" w:eastAsia="he-IL"/>
    </w:rPr>
  </w:style>
  <w:style w:type="paragraph" w:customStyle="1" w:styleId="medium2-header">
    <w:name w:val="medium2-header"/>
    <w:basedOn w:val="medium-header"/>
    <w:pPr>
      <w:spacing w:before="240"/>
    </w:pPr>
    <w:rPr>
      <w:bCs/>
      <w:noProof w:val="0"/>
      <w:sz w:val="24"/>
      <w:szCs w:val="24"/>
    </w:rPr>
  </w:style>
  <w:style w:type="paragraph" w:customStyle="1" w:styleId="sig-0">
    <w:name w:val="sig-0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  <w:tab w:val="center" w:pos="4820"/>
      </w:tabs>
    </w:pPr>
  </w:style>
  <w:style w:type="paragraph" w:customStyle="1" w:styleId="sig-1">
    <w:name w:val="sig-1"/>
    <w:pPr>
      <w:widowControl w:val="0"/>
      <w:tabs>
        <w:tab w:val="center" w:pos="851"/>
        <w:tab w:val="center" w:pos="2835"/>
        <w:tab w:val="center" w:pos="4820"/>
      </w:tabs>
      <w:autoSpaceDE w:val="0"/>
      <w:autoSpaceDN w:val="0"/>
      <w:bidi/>
      <w:ind w:left="2835"/>
      <w:jc w:val="both"/>
    </w:pPr>
    <w:rPr>
      <w:rFonts w:cs="FrankRuehl"/>
      <w:noProof/>
      <w:szCs w:val="22"/>
      <w:lang w:val="en-US" w:eastAsia="he-IL"/>
    </w:rPr>
  </w:style>
  <w:style w:type="paragraph" w:customStyle="1" w:styleId="sig-2">
    <w:name w:val="sig-2"/>
    <w:basedOn w:val="sig-1"/>
    <w:pPr>
      <w:tabs>
        <w:tab w:val="clear" w:pos="851"/>
        <w:tab w:val="clear" w:pos="2835"/>
        <w:tab w:val="clear" w:pos="4820"/>
        <w:tab w:val="center" w:pos="1985"/>
        <w:tab w:val="center" w:pos="4536"/>
      </w:tabs>
    </w:pPr>
  </w:style>
  <w:style w:type="paragraph" w:customStyle="1" w:styleId="sig-3">
    <w:name w:val="sig-3"/>
    <w:basedOn w:val="sig-1"/>
    <w:pPr>
      <w:tabs>
        <w:tab w:val="clear" w:pos="851"/>
        <w:tab w:val="clear" w:pos="2835"/>
        <w:tab w:val="clear" w:pos="4820"/>
        <w:tab w:val="center" w:pos="1134"/>
        <w:tab w:val="center" w:pos="1985"/>
        <w:tab w:val="center" w:pos="3686"/>
        <w:tab w:val="center" w:pos="4536"/>
      </w:tabs>
    </w:pPr>
  </w:style>
  <w:style w:type="paragraph" w:customStyle="1" w:styleId="footnote">
    <w:name w:val="footnote"/>
    <w:basedOn w:val="P00"/>
    <w:pPr>
      <w:tabs>
        <w:tab w:val="clear" w:pos="624"/>
        <w:tab w:val="clear" w:pos="1021"/>
        <w:tab w:val="clear" w:pos="1474"/>
        <w:tab w:val="clear" w:pos="1928"/>
        <w:tab w:val="clear" w:pos="2381"/>
        <w:tab w:val="clear" w:pos="2835"/>
        <w:tab w:val="clear" w:pos="6259"/>
      </w:tabs>
      <w:spacing w:before="0"/>
    </w:pPr>
    <w:rPr>
      <w:sz w:val="22"/>
      <w:szCs w:val="22"/>
    </w:rPr>
  </w:style>
  <w:style w:type="paragraph" w:styleId="a3">
    <w:name w:val="head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paragraph" w:styleId="a4">
    <w:name w:val="footer"/>
    <w:basedOn w:val="a"/>
    <w:pPr>
      <w:widowControl w:val="0"/>
      <w:tabs>
        <w:tab w:val="center" w:pos="4153"/>
        <w:tab w:val="right" w:pos="8306"/>
      </w:tabs>
      <w:spacing w:before="60" w:line="240" w:lineRule="auto"/>
      <w:ind w:left="2835"/>
    </w:pPr>
    <w:rPr>
      <w:rFonts w:cs="FrankRuehl"/>
      <w:sz w:val="20"/>
      <w:szCs w:val="20"/>
    </w:rPr>
  </w:style>
  <w:style w:type="character" w:styleId="Hyperlink">
    <w:name w:val="Hyperlink"/>
    <w:rPr>
      <w:color w:val="0000FF"/>
      <w:u w:val="single"/>
    </w:rPr>
  </w:style>
  <w:style w:type="paragraph" w:styleId="a5">
    <w:name w:val="footnote text"/>
    <w:basedOn w:val="a"/>
    <w:semiHidden/>
    <w:rPr>
      <w:sz w:val="20"/>
      <w:szCs w:val="20"/>
    </w:rPr>
  </w:style>
  <w:style w:type="character" w:styleId="a6">
    <w:name w:val="footnote reference"/>
    <w:semiHidden/>
    <w:rPr>
      <w:vertAlign w:val="superscript"/>
    </w:rPr>
  </w:style>
  <w:style w:type="paragraph" w:styleId="a7">
    <w:name w:val="Body Text"/>
    <w:basedOn w:val="a"/>
    <w:rPr>
      <w:rFonts w:cs="Miriam"/>
      <w:sz w:val="18"/>
      <w:szCs w:val="18"/>
    </w:rPr>
  </w:style>
  <w:style w:type="character" w:styleId="FollowedHyperlink">
    <w:name w:val="FollowedHyperlink"/>
    <w:rPr>
      <w:color w:val="800080"/>
      <w:u w:val="single"/>
    </w:rPr>
  </w:style>
  <w:style w:type="paragraph" w:styleId="2">
    <w:name w:val="Body Text 2"/>
    <w:basedOn w:val="a"/>
  </w:style>
  <w:style w:type="paragraph" w:styleId="3">
    <w:name w:val="Body Text 3"/>
    <w:basedOn w:val="a"/>
    <w:pPr>
      <w:spacing w:line="160" w:lineRule="exact"/>
      <w:jc w:val="left"/>
    </w:pPr>
    <w:rPr>
      <w:rFonts w:cs="Miriam"/>
      <w:szCs w:val="18"/>
    </w:rPr>
  </w:style>
  <w:style w:type="character" w:customStyle="1" w:styleId="UnresolvedMention">
    <w:name w:val="Unresolved Mention"/>
    <w:uiPriority w:val="99"/>
    <w:semiHidden/>
    <w:unhideWhenUsed/>
    <w:rsid w:val="003E084E"/>
    <w:rPr>
      <w:color w:val="808080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encoding w:val="windows-1255"/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yperlink" Target="http://www.nevo.co.il/advertisements/nevo-100.doc" TargetMode="External"/><Relationship Id="rId11" Type="http://schemas.openxmlformats.org/officeDocument/2006/relationships/fontTable" Target="fontTable.xml"/><Relationship Id="rId5" Type="http://schemas.openxmlformats.org/officeDocument/2006/relationships/endnotes" Target="endnotes.xml"/><Relationship Id="rId10" Type="http://schemas.openxmlformats.org/officeDocument/2006/relationships/footer" Target="footer2.xml"/><Relationship Id="rId4" Type="http://schemas.openxmlformats.org/officeDocument/2006/relationships/footnotes" Target="footnotes.xml"/><Relationship Id="rId9" Type="http://schemas.openxmlformats.org/officeDocument/2006/relationships/footer" Target="footer1.xml"/></Relationships>
</file>

<file path=word/_rels/footnotes.xml.rels><?xml version="1.0" encoding="UTF-8" standalone="yes"?>
<Relationships xmlns="http://schemas.openxmlformats.org/package/2006/relationships"><Relationship Id="rId3" Type="http://schemas.openxmlformats.org/officeDocument/2006/relationships/hyperlink" Target="http://www.nevo.co.il/Law_word/law06/tak-7230.pdf" TargetMode="External"/><Relationship Id="rId2" Type="http://schemas.openxmlformats.org/officeDocument/2006/relationships/hyperlink" Target="http://www.nevo.co.il/Law_word/law06/tak-6576.pdf" TargetMode="External"/><Relationship Id="rId1" Type="http://schemas.openxmlformats.org/officeDocument/2006/relationships/hyperlink" Target="http://www.nevo.co.il/Law_word/law06/tak-8177.pdf" TargetMode="Externa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199</Words>
  <Characters>1140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nevo.co.il</vt:lpstr>
    </vt:vector>
  </TitlesOfParts>
  <Company/>
  <LinksUpToDate>false</LinksUpToDate>
  <CharactersWithSpaces>1337</CharactersWithSpaces>
  <SharedDoc>false</SharedDoc>
  <HLinks>
    <vt:vector size="42" baseType="variant">
      <vt:variant>
        <vt:i4>393283</vt:i4>
      </vt:variant>
      <vt:variant>
        <vt:i4>18</vt:i4>
      </vt:variant>
      <vt:variant>
        <vt:i4>0</vt:i4>
      </vt:variant>
      <vt:variant>
        <vt:i4>5</vt:i4>
      </vt:variant>
      <vt:variant>
        <vt:lpwstr>http://www.nevo.co.il/advertisements/nevo-100.doc</vt:lpwstr>
      </vt:variant>
      <vt:variant>
        <vt:lpwstr/>
      </vt:variant>
      <vt:variant>
        <vt:i4>196634</vt:i4>
      </vt:variant>
      <vt:variant>
        <vt:i4>12</vt:i4>
      </vt:variant>
      <vt:variant>
        <vt:i4>0</vt:i4>
      </vt:variant>
      <vt:variant>
        <vt:i4>5</vt:i4>
      </vt:variant>
      <vt:variant>
        <vt:lpwstr/>
      </vt:variant>
      <vt:variant>
        <vt:lpwstr>Seif3</vt:lpwstr>
      </vt:variant>
      <vt:variant>
        <vt:i4>196634</vt:i4>
      </vt:variant>
      <vt:variant>
        <vt:i4>6</vt:i4>
      </vt:variant>
      <vt:variant>
        <vt:i4>0</vt:i4>
      </vt:variant>
      <vt:variant>
        <vt:i4>5</vt:i4>
      </vt:variant>
      <vt:variant>
        <vt:lpwstr/>
      </vt:variant>
      <vt:variant>
        <vt:lpwstr>Seif2</vt:lpwstr>
      </vt:variant>
      <vt:variant>
        <vt:i4>196634</vt:i4>
      </vt:variant>
      <vt:variant>
        <vt:i4>0</vt:i4>
      </vt:variant>
      <vt:variant>
        <vt:i4>0</vt:i4>
      </vt:variant>
      <vt:variant>
        <vt:i4>5</vt:i4>
      </vt:variant>
      <vt:variant>
        <vt:lpwstr/>
      </vt:variant>
      <vt:variant>
        <vt:lpwstr>Seif1</vt:lpwstr>
      </vt:variant>
      <vt:variant>
        <vt:i4>8192010</vt:i4>
      </vt:variant>
      <vt:variant>
        <vt:i4>6</vt:i4>
      </vt:variant>
      <vt:variant>
        <vt:i4>0</vt:i4>
      </vt:variant>
      <vt:variant>
        <vt:i4>5</vt:i4>
      </vt:variant>
      <vt:variant>
        <vt:lpwstr>http://www.nevo.co.il/Law_word/law06/tak-7230.pdf</vt:lpwstr>
      </vt:variant>
      <vt:variant>
        <vt:lpwstr/>
      </vt:variant>
      <vt:variant>
        <vt:i4>7864331</vt:i4>
      </vt:variant>
      <vt:variant>
        <vt:i4>3</vt:i4>
      </vt:variant>
      <vt:variant>
        <vt:i4>0</vt:i4>
      </vt:variant>
      <vt:variant>
        <vt:i4>5</vt:i4>
      </vt:variant>
      <vt:variant>
        <vt:lpwstr>http://www.nevo.co.il/Law_word/law06/tak-6576.pdf</vt:lpwstr>
      </vt:variant>
      <vt:variant>
        <vt:lpwstr/>
      </vt:variant>
      <vt:variant>
        <vt:i4>7733262</vt:i4>
      </vt:variant>
      <vt:variant>
        <vt:i4>0</vt:i4>
      </vt:variant>
      <vt:variant>
        <vt:i4>0</vt:i4>
      </vt:variant>
      <vt:variant>
        <vt:i4>5</vt:i4>
      </vt:variant>
      <vt:variant>
        <vt:lpwstr>http://www.nevo.co.il/Law_word/law06/tak-8177.pdf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nevo.co.il</dc:title>
  <dc:subject/>
  <dc:creator>Shimon Doodkin</dc:creator>
  <cp:keywords/>
  <dc:description/>
  <cp:lastModifiedBy>Shimon Doodkin</cp:lastModifiedBy>
  <cp:revision>2</cp:revision>
  <dcterms:created xsi:type="dcterms:W3CDTF">2023-06-05T19:18:00Z</dcterms:created>
  <dcterms:modified xsi:type="dcterms:W3CDTF">2023-06-05T19:18:00Z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HNUMBER">
    <vt:lpwstr>0502</vt:lpwstr>
  </property>
  <property fmtid="{D5CDD505-2E9C-101B-9397-08002B2CF9AE}" pid="3" name="CHNAME">
    <vt:lpwstr>התחדשות עירונית</vt:lpwstr>
  </property>
  <property fmtid="{D5CDD505-2E9C-101B-9397-08002B2CF9AE}" pid="4" name="LAWNAME">
    <vt:lpwstr>צו הרשות הממשלתית להתחדשות עירונית (חידוש תוקף הכרזה על מתחם לפינוי לשם בינוי לתקופה שלישית במסלול רשויות מקומיות) (הוראת שעה), תשע"ט-2019</vt:lpwstr>
  </property>
  <property fmtid="{D5CDD505-2E9C-101B-9397-08002B2CF9AE}" pid="5" name="LAWNUMBER">
    <vt:lpwstr>0075</vt:lpwstr>
  </property>
  <property fmtid="{D5CDD505-2E9C-101B-9397-08002B2CF9AE}" pid="6" name="TYPE">
    <vt:lpwstr>01</vt:lpwstr>
  </property>
  <property fmtid="{D5CDD505-2E9C-101B-9397-08002B2CF9AE}" pid="7" name="LINKK2">
    <vt:lpwstr/>
  </property>
  <property fmtid="{D5CDD505-2E9C-101B-9397-08002B2CF9AE}" pid="8" name="LINKK3">
    <vt:lpwstr/>
  </property>
  <property fmtid="{D5CDD505-2E9C-101B-9397-08002B2CF9AE}" pid="9" name="LINKK4">
    <vt:lpwstr/>
  </property>
  <property fmtid="{D5CDD505-2E9C-101B-9397-08002B2CF9AE}" pid="10" name="LINKK5">
    <vt:lpwstr/>
  </property>
  <property fmtid="{D5CDD505-2E9C-101B-9397-08002B2CF9AE}" pid="11" name="LINKK6">
    <vt:lpwstr/>
  </property>
  <property fmtid="{D5CDD505-2E9C-101B-9397-08002B2CF9AE}" pid="12" name="LINKK7">
    <vt:lpwstr/>
  </property>
  <property fmtid="{D5CDD505-2E9C-101B-9397-08002B2CF9AE}" pid="13" name="LINKK8">
    <vt:lpwstr/>
  </property>
  <property fmtid="{D5CDD505-2E9C-101B-9397-08002B2CF9AE}" pid="14" name="LINKK9">
    <vt:lpwstr/>
  </property>
  <property fmtid="{D5CDD505-2E9C-101B-9397-08002B2CF9AE}" pid="15" name="LINKK10">
    <vt:lpwstr/>
  </property>
  <property fmtid="{D5CDD505-2E9C-101B-9397-08002B2CF9AE}" pid="16" name="LINKI1">
    <vt:lpwstr/>
  </property>
  <property fmtid="{D5CDD505-2E9C-101B-9397-08002B2CF9AE}" pid="17" name="LINKI2">
    <vt:lpwstr/>
  </property>
  <property fmtid="{D5CDD505-2E9C-101B-9397-08002B2CF9AE}" pid="18" name="LINKI3">
    <vt:lpwstr/>
  </property>
  <property fmtid="{D5CDD505-2E9C-101B-9397-08002B2CF9AE}" pid="19" name="LINKI4">
    <vt:lpwstr/>
  </property>
  <property fmtid="{D5CDD505-2E9C-101B-9397-08002B2CF9AE}" pid="20" name="LINKI5">
    <vt:lpwstr/>
  </property>
  <property fmtid="{D5CDD505-2E9C-101B-9397-08002B2CF9AE}" pid="21" name="MEKORSAMCHUT">
    <vt:lpwstr/>
  </property>
  <property fmtid="{D5CDD505-2E9C-101B-9397-08002B2CF9AE}" pid="22" name="NOSE11">
    <vt:lpwstr>רשויות ומשפט מנהלי</vt:lpwstr>
  </property>
  <property fmtid="{D5CDD505-2E9C-101B-9397-08002B2CF9AE}" pid="23" name="NOSE21">
    <vt:lpwstr>תכנון ובניה</vt:lpwstr>
  </property>
  <property fmtid="{D5CDD505-2E9C-101B-9397-08002B2CF9AE}" pid="24" name="NOSE31">
    <vt:lpwstr>התחדשות עירונית</vt:lpwstr>
  </property>
  <property fmtid="{D5CDD505-2E9C-101B-9397-08002B2CF9AE}" pid="25" name="NOSE41">
    <vt:lpwstr/>
  </property>
  <property fmtid="{D5CDD505-2E9C-101B-9397-08002B2CF9AE}" pid="26" name="NOSE12">
    <vt:lpwstr>משפט פרטי וכלכלה</vt:lpwstr>
  </property>
  <property fmtid="{D5CDD505-2E9C-101B-9397-08002B2CF9AE}" pid="27" name="NOSE22">
    <vt:lpwstr>קניין</vt:lpwstr>
  </property>
  <property fmtid="{D5CDD505-2E9C-101B-9397-08002B2CF9AE}" pid="28" name="NOSE32">
    <vt:lpwstr>מקרקעין</vt:lpwstr>
  </property>
  <property fmtid="{D5CDD505-2E9C-101B-9397-08002B2CF9AE}" pid="29" name="NOSE42">
    <vt:lpwstr/>
  </property>
  <property fmtid="{D5CDD505-2E9C-101B-9397-08002B2CF9AE}" pid="30" name="NOSE13">
    <vt:lpwstr/>
  </property>
  <property fmtid="{D5CDD505-2E9C-101B-9397-08002B2CF9AE}" pid="31" name="NOSE23">
    <vt:lpwstr/>
  </property>
  <property fmtid="{D5CDD505-2E9C-101B-9397-08002B2CF9AE}" pid="32" name="NOSE33">
    <vt:lpwstr/>
  </property>
  <property fmtid="{D5CDD505-2E9C-101B-9397-08002B2CF9AE}" pid="33" name="NOSE43">
    <vt:lpwstr/>
  </property>
  <property fmtid="{D5CDD505-2E9C-101B-9397-08002B2CF9AE}" pid="34" name="NOSE14">
    <vt:lpwstr/>
  </property>
  <property fmtid="{D5CDD505-2E9C-101B-9397-08002B2CF9AE}" pid="35" name="NOSE24">
    <vt:lpwstr/>
  </property>
  <property fmtid="{D5CDD505-2E9C-101B-9397-08002B2CF9AE}" pid="36" name="NOSE34">
    <vt:lpwstr/>
  </property>
  <property fmtid="{D5CDD505-2E9C-101B-9397-08002B2CF9AE}" pid="37" name="NOSE44">
    <vt:lpwstr/>
  </property>
  <property fmtid="{D5CDD505-2E9C-101B-9397-08002B2CF9AE}" pid="38" name="NOSE15">
    <vt:lpwstr/>
  </property>
  <property fmtid="{D5CDD505-2E9C-101B-9397-08002B2CF9AE}" pid="39" name="NOSE25">
    <vt:lpwstr/>
  </property>
  <property fmtid="{D5CDD505-2E9C-101B-9397-08002B2CF9AE}" pid="40" name="NOSE35">
    <vt:lpwstr/>
  </property>
  <property fmtid="{D5CDD505-2E9C-101B-9397-08002B2CF9AE}" pid="41" name="NOSE45">
    <vt:lpwstr/>
  </property>
  <property fmtid="{D5CDD505-2E9C-101B-9397-08002B2CF9AE}" pid="42" name="NOSE16">
    <vt:lpwstr/>
  </property>
  <property fmtid="{D5CDD505-2E9C-101B-9397-08002B2CF9AE}" pid="43" name="NOSE26">
    <vt:lpwstr/>
  </property>
  <property fmtid="{D5CDD505-2E9C-101B-9397-08002B2CF9AE}" pid="44" name="NOSE36">
    <vt:lpwstr/>
  </property>
  <property fmtid="{D5CDD505-2E9C-101B-9397-08002B2CF9AE}" pid="45" name="NOSE46">
    <vt:lpwstr/>
  </property>
  <property fmtid="{D5CDD505-2E9C-101B-9397-08002B2CF9AE}" pid="46" name="NOSE17">
    <vt:lpwstr/>
  </property>
  <property fmtid="{D5CDD505-2E9C-101B-9397-08002B2CF9AE}" pid="47" name="NOSE27">
    <vt:lpwstr/>
  </property>
  <property fmtid="{D5CDD505-2E9C-101B-9397-08002B2CF9AE}" pid="48" name="NOSE37">
    <vt:lpwstr/>
  </property>
  <property fmtid="{D5CDD505-2E9C-101B-9397-08002B2CF9AE}" pid="49" name="NOSE47">
    <vt:lpwstr/>
  </property>
  <property fmtid="{D5CDD505-2E9C-101B-9397-08002B2CF9AE}" pid="50" name="NOSE18">
    <vt:lpwstr/>
  </property>
  <property fmtid="{D5CDD505-2E9C-101B-9397-08002B2CF9AE}" pid="51" name="NOSE28">
    <vt:lpwstr/>
  </property>
  <property fmtid="{D5CDD505-2E9C-101B-9397-08002B2CF9AE}" pid="52" name="NOSE38">
    <vt:lpwstr/>
  </property>
  <property fmtid="{D5CDD505-2E9C-101B-9397-08002B2CF9AE}" pid="53" name="NOSE48">
    <vt:lpwstr/>
  </property>
  <property fmtid="{D5CDD505-2E9C-101B-9397-08002B2CF9AE}" pid="54" name="NOSE19">
    <vt:lpwstr/>
  </property>
  <property fmtid="{D5CDD505-2E9C-101B-9397-08002B2CF9AE}" pid="55" name="NOSE29">
    <vt:lpwstr/>
  </property>
  <property fmtid="{D5CDD505-2E9C-101B-9397-08002B2CF9AE}" pid="56" name="NOSE39">
    <vt:lpwstr/>
  </property>
  <property fmtid="{D5CDD505-2E9C-101B-9397-08002B2CF9AE}" pid="57" name="NOSE49">
    <vt:lpwstr/>
  </property>
  <property fmtid="{D5CDD505-2E9C-101B-9397-08002B2CF9AE}" pid="58" name="NOSE110">
    <vt:lpwstr/>
  </property>
  <property fmtid="{D5CDD505-2E9C-101B-9397-08002B2CF9AE}" pid="59" name="NOSE210">
    <vt:lpwstr/>
  </property>
  <property fmtid="{D5CDD505-2E9C-101B-9397-08002B2CF9AE}" pid="60" name="NOSE310">
    <vt:lpwstr/>
  </property>
  <property fmtid="{D5CDD505-2E9C-101B-9397-08002B2CF9AE}" pid="61" name="NOSE410">
    <vt:lpwstr/>
  </property>
  <property fmtid="{D5CDD505-2E9C-101B-9397-08002B2CF9AE}" pid="62" name="MEKOR_NAME1">
    <vt:lpwstr>חוק הרשות הממשלתית להתחדשות עירונית</vt:lpwstr>
  </property>
  <property fmtid="{D5CDD505-2E9C-101B-9397-08002B2CF9AE}" pid="63" name="MEKOR_SAIF1">
    <vt:lpwstr>14XבX3XאX</vt:lpwstr>
  </property>
  <property fmtid="{D5CDD505-2E9C-101B-9397-08002B2CF9AE}" pid="64" name="LINKK1">
    <vt:lpwstr>http://www.nevo.co.il/Law_word/law06/tak-8177.pdf;‎רשומות - תקנות כלליות#פורסם ק"ת ‏תשע"ט מס' 8177 #מיום 20.2.2019 עמ' 2887‏</vt:lpwstr>
  </property>
</Properties>
</file>