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B9A2F" w14:textId="77777777" w:rsidR="009612B8" w:rsidRDefault="009612B8">
      <w:pPr>
        <w:pStyle w:val="big-header"/>
        <w:ind w:left="0" w:right="1134"/>
        <w:rPr>
          <w:rFonts w:hint="cs"/>
          <w:rtl/>
        </w:rPr>
      </w:pPr>
      <w:r>
        <w:rPr>
          <w:rtl/>
        </w:rPr>
        <w:t>צו השיפוט הצבאי (קביעת גוף ציבורי), תשנ"ט</w:t>
      </w:r>
      <w:r>
        <w:rPr>
          <w:rFonts w:hint="cs"/>
          <w:rtl/>
        </w:rPr>
        <w:t>-</w:t>
      </w:r>
      <w:r>
        <w:rPr>
          <w:rtl/>
        </w:rPr>
        <w:t>1999</w:t>
      </w:r>
    </w:p>
    <w:p w14:paraId="5D66DC88" w14:textId="77777777" w:rsidR="009612B8" w:rsidRDefault="009612B8">
      <w:pPr>
        <w:pStyle w:val="big-header"/>
        <w:ind w:left="0" w:right="1134"/>
        <w:rPr>
          <w:rFonts w:hint="cs"/>
          <w:color w:val="008000"/>
          <w:rtl/>
        </w:rPr>
      </w:pPr>
      <w:r>
        <w:rPr>
          <w:rFonts w:hint="cs"/>
          <w:color w:val="008000"/>
          <w:rtl/>
        </w:rPr>
        <w:t>רבדים בחקיקה</w:t>
      </w:r>
    </w:p>
    <w:p w14:paraId="4E2736FB" w14:textId="77777777" w:rsidR="00164BFC" w:rsidRPr="00164BFC" w:rsidRDefault="00164BFC" w:rsidP="00164BFC">
      <w:pPr>
        <w:spacing w:line="320" w:lineRule="auto"/>
        <w:jc w:val="left"/>
        <w:rPr>
          <w:rFonts w:cs="FrankRuehl"/>
          <w:szCs w:val="26"/>
          <w:rtl/>
        </w:rPr>
      </w:pPr>
    </w:p>
    <w:p w14:paraId="51751266" w14:textId="77777777" w:rsidR="00164BFC" w:rsidRDefault="00164BFC" w:rsidP="00164BFC">
      <w:pPr>
        <w:spacing w:line="320" w:lineRule="auto"/>
        <w:jc w:val="left"/>
        <w:rPr>
          <w:rFonts w:cs="Miriam"/>
          <w:szCs w:val="22"/>
          <w:rtl/>
        </w:rPr>
      </w:pPr>
      <w:r w:rsidRPr="00164BFC">
        <w:rPr>
          <w:rFonts w:cs="Miriam"/>
          <w:szCs w:val="22"/>
          <w:rtl/>
        </w:rPr>
        <w:t>בטחון</w:t>
      </w:r>
      <w:r w:rsidRPr="00164BFC">
        <w:rPr>
          <w:rFonts w:cs="FrankRuehl"/>
          <w:szCs w:val="26"/>
          <w:rtl/>
        </w:rPr>
        <w:t xml:space="preserve"> – צה"ל – שיפוט צבאי</w:t>
      </w:r>
    </w:p>
    <w:p w14:paraId="134FBD62" w14:textId="77777777" w:rsidR="003F1419" w:rsidRPr="00164BFC" w:rsidRDefault="00164BFC" w:rsidP="00164BFC">
      <w:pPr>
        <w:spacing w:line="320" w:lineRule="auto"/>
        <w:jc w:val="left"/>
        <w:rPr>
          <w:rFonts w:cs="Miriam"/>
          <w:szCs w:val="22"/>
          <w:rtl/>
        </w:rPr>
      </w:pPr>
      <w:r w:rsidRPr="00164BFC">
        <w:rPr>
          <w:rFonts w:cs="Miriam"/>
          <w:szCs w:val="22"/>
          <w:rtl/>
        </w:rPr>
        <w:t xml:space="preserve">דיני חוקה </w:t>
      </w:r>
      <w:r w:rsidRPr="00164BFC">
        <w:rPr>
          <w:rFonts w:cs="FrankRuehl"/>
          <w:szCs w:val="26"/>
          <w:rtl/>
        </w:rPr>
        <w:t xml:space="preserve"> – ועדות חקירה</w:t>
      </w:r>
    </w:p>
    <w:p w14:paraId="75210269" w14:textId="77777777" w:rsidR="009612B8" w:rsidRDefault="009612B8">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612B8" w14:paraId="632F6CCA" w14:textId="77777777">
        <w:tblPrEx>
          <w:tblCellMar>
            <w:top w:w="0" w:type="dxa"/>
            <w:bottom w:w="0" w:type="dxa"/>
          </w:tblCellMar>
        </w:tblPrEx>
        <w:trPr>
          <w:jc w:val="right"/>
        </w:trPr>
        <w:tc>
          <w:tcPr>
            <w:tcW w:w="850" w:type="dxa"/>
          </w:tcPr>
          <w:p w14:paraId="0E665DA0" w14:textId="77777777" w:rsidR="009612B8" w:rsidRDefault="009612B8">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82270C3" w14:textId="77777777" w:rsidR="009612B8" w:rsidRDefault="009612B8">
            <w:pPr>
              <w:spacing w:line="240" w:lineRule="auto"/>
              <w:jc w:val="left"/>
              <w:rPr>
                <w:sz w:val="24"/>
              </w:rPr>
            </w:pPr>
            <w:hyperlink w:anchor="Seif0" w:tooltip="קביעת גופים ציבוריים" w:history="1">
              <w:r>
                <w:rPr>
                  <w:rStyle w:val="Hyperlink"/>
                </w:rPr>
                <w:t>Go</w:t>
              </w:r>
            </w:hyperlink>
          </w:p>
        </w:tc>
        <w:tc>
          <w:tcPr>
            <w:tcW w:w="5669" w:type="dxa"/>
          </w:tcPr>
          <w:p w14:paraId="2C4C8DB5" w14:textId="77777777" w:rsidR="009612B8" w:rsidRDefault="009612B8">
            <w:pPr>
              <w:spacing w:line="240" w:lineRule="auto"/>
              <w:jc w:val="left"/>
              <w:rPr>
                <w:sz w:val="24"/>
                <w:rtl/>
              </w:rPr>
            </w:pPr>
            <w:r>
              <w:rPr>
                <w:sz w:val="24"/>
                <w:rtl/>
              </w:rPr>
              <w:t>קביעת גופים ציבוריים</w:t>
            </w:r>
          </w:p>
        </w:tc>
        <w:tc>
          <w:tcPr>
            <w:tcW w:w="1247" w:type="dxa"/>
          </w:tcPr>
          <w:p w14:paraId="0FE51A52" w14:textId="77777777" w:rsidR="009612B8" w:rsidRDefault="009612B8">
            <w:pPr>
              <w:spacing w:line="240" w:lineRule="auto"/>
              <w:jc w:val="left"/>
              <w:rPr>
                <w:sz w:val="24"/>
              </w:rPr>
            </w:pPr>
            <w:r>
              <w:rPr>
                <w:sz w:val="24"/>
                <w:rtl/>
              </w:rPr>
              <w:t xml:space="preserve">סעיף 1 </w:t>
            </w:r>
          </w:p>
        </w:tc>
      </w:tr>
    </w:tbl>
    <w:p w14:paraId="2D6D79A5" w14:textId="77777777" w:rsidR="009612B8" w:rsidRDefault="009612B8">
      <w:pPr>
        <w:pStyle w:val="big-header"/>
        <w:ind w:left="0" w:right="1134"/>
        <w:rPr>
          <w:rtl/>
        </w:rPr>
      </w:pPr>
    </w:p>
    <w:p w14:paraId="5BE076DF" w14:textId="77777777" w:rsidR="009612B8" w:rsidRPr="003F1419" w:rsidRDefault="009612B8" w:rsidP="003F1419">
      <w:pPr>
        <w:pStyle w:val="big-header"/>
        <w:ind w:left="0" w:right="1134"/>
        <w:rPr>
          <w:rStyle w:val="default"/>
          <w:rFonts w:cs="FrankRuehl" w:hint="cs"/>
          <w:szCs w:val="32"/>
          <w:rtl/>
        </w:rPr>
      </w:pPr>
      <w:r>
        <w:rPr>
          <w:rtl/>
        </w:rPr>
        <w:br w:type="page"/>
      </w:r>
      <w:r>
        <w:rPr>
          <w:rtl/>
        </w:rPr>
        <w:lastRenderedPageBreak/>
        <w:t>צ</w:t>
      </w:r>
      <w:r>
        <w:rPr>
          <w:rFonts w:hint="cs"/>
          <w:rtl/>
        </w:rPr>
        <w:t>ו השיפוט הצבאי (קביעת גוף ציבורי), תשנ"ט-1999</w:t>
      </w:r>
      <w:r>
        <w:rPr>
          <w:rStyle w:val="default"/>
          <w:rtl/>
        </w:rPr>
        <w:footnoteReference w:customMarkFollows="1" w:id="1"/>
        <w:t>*</w:t>
      </w:r>
    </w:p>
    <w:p w14:paraId="4D3D313D" w14:textId="77777777" w:rsidR="009612B8" w:rsidRDefault="009612B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539א(א</w:t>
      </w:r>
      <w:r>
        <w:rPr>
          <w:rStyle w:val="default"/>
          <w:rFonts w:cs="FrankRuehl"/>
          <w:rtl/>
        </w:rPr>
        <w:t xml:space="preserve">) </w:t>
      </w:r>
      <w:r>
        <w:rPr>
          <w:rStyle w:val="default"/>
          <w:rFonts w:cs="FrankRuehl" w:hint="cs"/>
          <w:rtl/>
        </w:rPr>
        <w:t xml:space="preserve">לחוק השיפוט הצבאי, תשט"ו-1955 (להלן </w:t>
      </w:r>
      <w:r>
        <w:rPr>
          <w:rStyle w:val="default"/>
          <w:rFonts w:cs="FrankRuehl"/>
          <w:rtl/>
        </w:rPr>
        <w:t>–</w:t>
      </w:r>
      <w:r>
        <w:rPr>
          <w:rStyle w:val="default"/>
          <w:rFonts w:cs="FrankRuehl" w:hint="cs"/>
          <w:rtl/>
        </w:rPr>
        <w:t xml:space="preserve"> החוק), אני מצווה לאמור:</w:t>
      </w:r>
    </w:p>
    <w:p w14:paraId="3F96BE09" w14:textId="77777777" w:rsidR="009612B8" w:rsidRDefault="009612B8">
      <w:pPr>
        <w:pStyle w:val="P00"/>
        <w:spacing w:before="72"/>
        <w:ind w:left="0" w:right="1134"/>
        <w:rPr>
          <w:rStyle w:val="default"/>
          <w:rFonts w:cs="FrankRuehl"/>
          <w:rtl/>
        </w:rPr>
      </w:pPr>
      <w:bookmarkStart w:id="0" w:name="Seif0"/>
      <w:bookmarkEnd w:id="0"/>
      <w:r>
        <w:rPr>
          <w:lang w:val="he-IL"/>
        </w:rPr>
        <w:pict w14:anchorId="2816922C">
          <v:rect id="_x0000_s1026" style="position:absolute;left:0;text-align:left;margin-left:464.5pt;margin-top:8.05pt;width:75.05pt;height:8pt;z-index:251656192" o:allowincell="f" filled="f" stroked="f" strokecolor="lime" strokeweight=".25pt">
            <v:textbox inset="0,0,0,0">
              <w:txbxContent>
                <w:p w14:paraId="03E1E329" w14:textId="77777777" w:rsidR="009612B8" w:rsidRDefault="009612B8">
                  <w:pPr>
                    <w:spacing w:line="160" w:lineRule="exact"/>
                    <w:jc w:val="left"/>
                    <w:rPr>
                      <w:rFonts w:cs="Miriam"/>
                      <w:noProof/>
                      <w:szCs w:val="18"/>
                      <w:rtl/>
                    </w:rPr>
                  </w:pPr>
                  <w:r>
                    <w:rPr>
                      <w:rFonts w:cs="Miriam"/>
                      <w:szCs w:val="18"/>
                      <w:rtl/>
                    </w:rPr>
                    <w:t>ק</w:t>
                  </w:r>
                  <w:r>
                    <w:rPr>
                      <w:rFonts w:cs="Miriam" w:hint="cs"/>
                      <w:szCs w:val="18"/>
                      <w:rtl/>
                    </w:rPr>
                    <w:t>ביעת גופ</w:t>
                  </w:r>
                  <w:r>
                    <w:rPr>
                      <w:rFonts w:cs="Miriam"/>
                      <w:szCs w:val="18"/>
                      <w:rtl/>
                    </w:rPr>
                    <w:t>י</w:t>
                  </w:r>
                  <w:r>
                    <w:rPr>
                      <w:rFonts w:cs="Miriam" w:hint="cs"/>
                      <w:szCs w:val="18"/>
                      <w:rtl/>
                    </w:rPr>
                    <w:t>ם ציבוריים</w:t>
                  </w:r>
                </w:p>
              </w:txbxContent>
            </v:textbox>
            <w10:anchorlock/>
          </v:rect>
        </w:pict>
      </w:r>
      <w:r>
        <w:rPr>
          <w:rStyle w:val="big-number"/>
          <w:rtl/>
        </w:rPr>
        <w:t>1.</w:t>
      </w:r>
      <w:r>
        <w:rPr>
          <w:rStyle w:val="big-number"/>
          <w:rtl/>
        </w:rPr>
        <w:tab/>
      </w:r>
      <w:r>
        <w:rPr>
          <w:rStyle w:val="default"/>
          <w:rFonts w:cs="FrankRuehl"/>
          <w:rtl/>
        </w:rPr>
        <w:t>ל</w:t>
      </w:r>
      <w:r>
        <w:rPr>
          <w:rStyle w:val="default"/>
          <w:rFonts w:cs="FrankRuehl" w:hint="cs"/>
          <w:rtl/>
        </w:rPr>
        <w:t>ענין סעיף 539א לחוק, כל אחד מאלה הוא גוף ציבורי:</w:t>
      </w:r>
    </w:p>
    <w:p w14:paraId="1505470C" w14:textId="77777777" w:rsidR="009612B8" w:rsidRDefault="009612B8">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הכנסת;</w:t>
      </w:r>
    </w:p>
    <w:p w14:paraId="068360CB" w14:textId="77777777" w:rsidR="009612B8" w:rsidRDefault="009612B8">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מבקר המדינה;</w:t>
      </w:r>
    </w:p>
    <w:p w14:paraId="7924FF85" w14:textId="77777777" w:rsidR="009612B8" w:rsidRDefault="009612B8">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הרשות הלאומית לבטיחות בדרכים;</w:t>
      </w:r>
    </w:p>
    <w:p w14:paraId="1B6B7EDD" w14:textId="77777777" w:rsidR="009612B8" w:rsidRDefault="009612B8">
      <w:pPr>
        <w:pStyle w:val="P00"/>
        <w:spacing w:before="72"/>
        <w:ind w:left="0" w:right="1134"/>
        <w:rPr>
          <w:rStyle w:val="default"/>
          <w:rFonts w:cs="FrankRuehl" w:hint="cs"/>
          <w:rtl/>
        </w:rPr>
      </w:pPr>
      <w:r>
        <w:rPr>
          <w:rtl/>
        </w:rPr>
        <w:tab/>
      </w:r>
      <w:r>
        <w:rPr>
          <w:rStyle w:val="default"/>
          <w:rFonts w:cs="FrankRuehl"/>
          <w:rtl/>
        </w:rPr>
        <w:t>(4)</w:t>
      </w:r>
      <w:r>
        <w:rPr>
          <w:rStyle w:val="default"/>
          <w:rFonts w:cs="FrankRuehl"/>
          <w:rtl/>
        </w:rPr>
        <w:tab/>
      </w:r>
      <w:r>
        <w:rPr>
          <w:rStyle w:val="default"/>
          <w:rFonts w:cs="FrankRuehl" w:hint="cs"/>
          <w:rtl/>
        </w:rPr>
        <w:t>המוסד לבטיחות וגיהות בעבודה;</w:t>
      </w:r>
    </w:p>
    <w:p w14:paraId="05EEAD58" w14:textId="77777777" w:rsidR="009612B8" w:rsidRDefault="009612B8">
      <w:pPr>
        <w:pStyle w:val="P00"/>
        <w:spacing w:before="72"/>
        <w:ind w:left="624" w:right="1134"/>
        <w:rPr>
          <w:rStyle w:val="default"/>
          <w:rFonts w:cs="FrankRuehl" w:hint="cs"/>
          <w:rtl/>
        </w:rPr>
      </w:pPr>
      <w:r>
        <w:rPr>
          <w:rtl/>
          <w:lang w:val="he-IL"/>
        </w:rPr>
        <w:pict w14:anchorId="04F257C9">
          <v:shapetype id="_x0000_t202" coordsize="21600,21600" o:spt="202" path="m,l,21600r21600,l21600,xe">
            <v:stroke joinstyle="miter"/>
            <v:path gradientshapeok="t" o:connecttype="rect"/>
          </v:shapetype>
          <v:shape id="_x0000_s1027" type="#_x0000_t202" style="position:absolute;left:0;text-align:left;margin-left:470.25pt;margin-top:7.1pt;width:1in;height:9.65pt;z-index:251657216" filled="f" stroked="f">
            <v:textbox inset="1mm,0,1mm,0">
              <w:txbxContent>
                <w:p w14:paraId="6CA4EDC8" w14:textId="77777777" w:rsidR="009612B8" w:rsidRDefault="009612B8">
                  <w:pPr>
                    <w:pStyle w:val="a5"/>
                    <w:rPr>
                      <w:rFonts w:cs="Miriam" w:hint="cs"/>
                      <w:szCs w:val="18"/>
                      <w:rtl/>
                    </w:rPr>
                  </w:pPr>
                  <w:r>
                    <w:rPr>
                      <w:rFonts w:cs="Miriam" w:hint="cs"/>
                      <w:szCs w:val="18"/>
                      <w:rtl/>
                    </w:rPr>
                    <w:t>צו תשס"ה-2005</w:t>
                  </w:r>
                </w:p>
              </w:txbxContent>
            </v:textbox>
            <w10:anchorlock/>
          </v:shape>
        </w:pict>
      </w:r>
      <w:r>
        <w:rPr>
          <w:rStyle w:val="default"/>
          <w:rFonts w:cs="FrankRuehl" w:hint="cs"/>
          <w:rtl/>
        </w:rPr>
        <w:t>(5)</w:t>
      </w:r>
      <w:r>
        <w:rPr>
          <w:rStyle w:val="default"/>
          <w:rFonts w:cs="FrankRuehl" w:hint="cs"/>
          <w:rtl/>
        </w:rPr>
        <w:tab/>
        <w:t xml:space="preserve">בית דין צבאי בשבתו כדן יחיד או בית משפט, הדן בבקשת נאשם העומד לדין בקשר לאירוע שנחקר בתחקיר, להתיר לו לעיין בחומר התחקיר, מהטעם שהצורך בהתרת העיון לשם עשיית צדק עדיף מן הענין שיש שלא להתיר את העיון; בפסקה זו, "בית דין צבאי" או "בית משפט" </w:t>
      </w:r>
      <w:r>
        <w:rPr>
          <w:rStyle w:val="default"/>
          <w:rFonts w:cs="FrankRuehl"/>
          <w:rtl/>
        </w:rPr>
        <w:t>–</w:t>
      </w:r>
      <w:r>
        <w:rPr>
          <w:rStyle w:val="default"/>
          <w:rFonts w:cs="FrankRuehl" w:hint="cs"/>
          <w:rtl/>
        </w:rPr>
        <w:t xml:space="preserve"> למעט השופט הדן באישום;</w:t>
      </w:r>
    </w:p>
    <w:p w14:paraId="307CC044" w14:textId="77777777" w:rsidR="009612B8" w:rsidRDefault="009612B8">
      <w:pPr>
        <w:pStyle w:val="P00"/>
        <w:spacing w:before="72"/>
        <w:ind w:left="624" w:right="1134"/>
        <w:rPr>
          <w:rStyle w:val="default"/>
          <w:rFonts w:cs="FrankRuehl" w:hint="cs"/>
          <w:rtl/>
        </w:rPr>
      </w:pPr>
      <w:r>
        <w:rPr>
          <w:rtl/>
          <w:lang w:val="he-IL"/>
        </w:rPr>
        <w:pict w14:anchorId="601E7D87">
          <v:shape id="_x0000_s1028" type="#_x0000_t202" style="position:absolute;left:0;text-align:left;margin-left:470.25pt;margin-top:7.1pt;width:1in;height:10pt;z-index:251658240" filled="f" stroked="f">
            <v:textbox inset="1mm,0,1mm,0">
              <w:txbxContent>
                <w:p w14:paraId="3D58FEF2" w14:textId="77777777" w:rsidR="009612B8" w:rsidRDefault="009612B8">
                  <w:pPr>
                    <w:pStyle w:val="a5"/>
                    <w:rPr>
                      <w:rFonts w:cs="Miriam" w:hint="cs"/>
                      <w:szCs w:val="18"/>
                      <w:rtl/>
                    </w:rPr>
                  </w:pPr>
                  <w:r>
                    <w:rPr>
                      <w:rFonts w:cs="Miriam" w:hint="cs"/>
                      <w:szCs w:val="18"/>
                      <w:rtl/>
                    </w:rPr>
                    <w:t>צו תשס"ז-2006</w:t>
                  </w:r>
                </w:p>
              </w:txbxContent>
            </v:textbox>
          </v:shape>
        </w:pict>
      </w:r>
      <w:r>
        <w:rPr>
          <w:rStyle w:val="default"/>
          <w:rFonts w:cs="FrankRuehl"/>
          <w:rtl/>
        </w:rPr>
        <w:t>(6)</w:t>
      </w:r>
      <w:r>
        <w:rPr>
          <w:rStyle w:val="default"/>
          <w:rFonts w:cs="FrankRuehl" w:hint="cs"/>
          <w:rtl/>
        </w:rPr>
        <w:tab/>
      </w:r>
      <w:r>
        <w:rPr>
          <w:rStyle w:val="default"/>
          <w:rFonts w:cs="FrankRuehl"/>
          <w:rtl/>
        </w:rPr>
        <w:t>ועדת הבדיקה הממשלתית לפי סעיף 8א לחוק הממשלה, התשס"א</w:t>
      </w:r>
      <w:r>
        <w:rPr>
          <w:rStyle w:val="default"/>
          <w:rFonts w:cs="FrankRuehl" w:hint="cs"/>
          <w:rtl/>
        </w:rPr>
        <w:t>-2001</w:t>
      </w:r>
      <w:r>
        <w:rPr>
          <w:rStyle w:val="default"/>
          <w:rFonts w:cs="FrankRuehl"/>
          <w:rtl/>
        </w:rPr>
        <w:t>, לבירור</w:t>
      </w:r>
      <w:r>
        <w:rPr>
          <w:rStyle w:val="default"/>
          <w:rFonts w:cs="FrankRuehl" w:hint="cs"/>
          <w:rtl/>
        </w:rPr>
        <w:t xml:space="preserve"> </w:t>
      </w:r>
      <w:r>
        <w:rPr>
          <w:rStyle w:val="default"/>
          <w:rFonts w:cs="FrankRuehl"/>
          <w:rtl/>
        </w:rPr>
        <w:t>ההיערכות וההתנהלות של הדרג המדיני ומערכת הביטחון בנוגע למכלול ההיבטים של</w:t>
      </w:r>
      <w:r>
        <w:rPr>
          <w:rStyle w:val="default"/>
          <w:rFonts w:cs="FrankRuehl" w:hint="cs"/>
          <w:rtl/>
        </w:rPr>
        <w:t xml:space="preserve"> </w:t>
      </w:r>
      <w:r>
        <w:rPr>
          <w:rStyle w:val="default"/>
          <w:rFonts w:cs="FrankRuehl"/>
          <w:rtl/>
        </w:rPr>
        <w:t>המערכה בצפון שהחלה ביום ט"ז בתמוז התשס"ו (12 ביולי 2006), שהוקמה מכוח החלטת הממשלה מס' 525 מיום כ"ד</w:t>
      </w:r>
      <w:r w:rsidR="00836573">
        <w:rPr>
          <w:rStyle w:val="default"/>
          <w:rFonts w:cs="FrankRuehl"/>
          <w:rtl/>
        </w:rPr>
        <w:t xml:space="preserve"> באלול התשס"ו (17 בספטמבר 2006)</w:t>
      </w:r>
      <w:r w:rsidR="00836573">
        <w:rPr>
          <w:rStyle w:val="default"/>
          <w:rFonts w:cs="FrankRuehl" w:hint="cs"/>
          <w:rtl/>
        </w:rPr>
        <w:t>;</w:t>
      </w:r>
    </w:p>
    <w:p w14:paraId="3CE8CC7E" w14:textId="77777777" w:rsidR="00836573" w:rsidRDefault="00836573" w:rsidP="00836573">
      <w:pPr>
        <w:pStyle w:val="P00"/>
        <w:spacing w:before="72"/>
        <w:ind w:left="624" w:right="1134"/>
        <w:rPr>
          <w:rStyle w:val="default"/>
          <w:rFonts w:cs="FrankRuehl" w:hint="cs"/>
          <w:rtl/>
        </w:rPr>
      </w:pPr>
      <w:r>
        <w:rPr>
          <w:rtl/>
          <w:lang w:val="he-IL"/>
        </w:rPr>
        <w:pict w14:anchorId="0CC29723">
          <v:shape id="_x0000_s1029" type="#_x0000_t202" style="position:absolute;left:0;text-align:left;margin-left:470.25pt;margin-top:7.1pt;width:1in;height:10pt;z-index:251659264" filled="f" stroked="f">
            <v:textbox inset="1mm,0,1mm,0">
              <w:txbxContent>
                <w:p w14:paraId="26F6D1D0" w14:textId="77777777" w:rsidR="00836573" w:rsidRDefault="00836573" w:rsidP="00836573">
                  <w:pPr>
                    <w:pStyle w:val="a5"/>
                    <w:rPr>
                      <w:rFonts w:cs="Miriam" w:hint="cs"/>
                      <w:szCs w:val="18"/>
                      <w:rtl/>
                    </w:rPr>
                  </w:pPr>
                  <w:r>
                    <w:rPr>
                      <w:rFonts w:cs="Miriam" w:hint="cs"/>
                      <w:szCs w:val="18"/>
                      <w:rtl/>
                    </w:rPr>
                    <w:t>צו תש"ע-2010</w:t>
                  </w:r>
                </w:p>
              </w:txbxContent>
            </v:textbox>
          </v:shape>
        </w:pict>
      </w:r>
      <w:r>
        <w:rPr>
          <w:rStyle w:val="default"/>
          <w:rFonts w:cs="FrankRuehl"/>
          <w:rtl/>
        </w:rPr>
        <w:t>(</w:t>
      </w:r>
      <w:r>
        <w:rPr>
          <w:rStyle w:val="default"/>
          <w:rFonts w:cs="FrankRuehl" w:hint="cs"/>
          <w:rtl/>
        </w:rPr>
        <w:t>7)</w:t>
      </w:r>
      <w:r>
        <w:rPr>
          <w:rStyle w:val="default"/>
          <w:rFonts w:cs="FrankRuehl" w:hint="cs"/>
          <w:rtl/>
        </w:rPr>
        <w:tab/>
        <w:t>הוועדה הציבורית הבלתי תלויה לבדיקת ההיבטים הנוגעים לפעולות שנקטה מדינת ישראל למניעת הגעת כלי שיט אל חוף רצועת עזה ביום י"ח בסיוון התש"ע (31 במאי 2010), שהוקמה מכוח החלטת הממשלה מס' 1796 מיום ב' בתמוז התש"ע (14 ביוני 2010</w:t>
      </w:r>
      <w:r>
        <w:rPr>
          <w:rStyle w:val="default"/>
          <w:rFonts w:cs="FrankRuehl"/>
          <w:rtl/>
        </w:rPr>
        <w:t>)</w:t>
      </w:r>
      <w:r>
        <w:rPr>
          <w:rStyle w:val="default"/>
          <w:rFonts w:cs="FrankRuehl" w:hint="cs"/>
          <w:rtl/>
        </w:rPr>
        <w:t>.</w:t>
      </w:r>
    </w:p>
    <w:p w14:paraId="49F9C4CE" w14:textId="77777777" w:rsidR="009612B8" w:rsidRPr="003359EC" w:rsidRDefault="009612B8">
      <w:pPr>
        <w:pStyle w:val="P00"/>
        <w:spacing w:before="0"/>
        <w:ind w:left="624" w:right="1134"/>
        <w:rPr>
          <w:rStyle w:val="default"/>
          <w:rFonts w:cs="FrankRuehl" w:hint="cs"/>
          <w:vanish/>
          <w:color w:val="FF0000"/>
          <w:szCs w:val="20"/>
          <w:shd w:val="clear" w:color="auto" w:fill="FFFF99"/>
          <w:rtl/>
        </w:rPr>
      </w:pPr>
      <w:bookmarkStart w:id="1" w:name="Rov3"/>
      <w:r w:rsidRPr="003359EC">
        <w:rPr>
          <w:rStyle w:val="default"/>
          <w:rFonts w:cs="FrankRuehl" w:hint="cs"/>
          <w:vanish/>
          <w:color w:val="FF0000"/>
          <w:szCs w:val="20"/>
          <w:shd w:val="clear" w:color="auto" w:fill="FFFF99"/>
          <w:rtl/>
        </w:rPr>
        <w:t>מיום 9.5.2005</w:t>
      </w:r>
    </w:p>
    <w:p w14:paraId="0DFFF42C" w14:textId="77777777" w:rsidR="009612B8" w:rsidRPr="003359EC" w:rsidRDefault="009612B8">
      <w:pPr>
        <w:pStyle w:val="P00"/>
        <w:spacing w:before="0"/>
        <w:ind w:left="624" w:right="1134"/>
        <w:rPr>
          <w:rStyle w:val="default"/>
          <w:rFonts w:cs="FrankRuehl" w:hint="cs"/>
          <w:vanish/>
          <w:szCs w:val="20"/>
          <w:shd w:val="clear" w:color="auto" w:fill="FFFF99"/>
          <w:rtl/>
        </w:rPr>
      </w:pPr>
      <w:r w:rsidRPr="003359EC">
        <w:rPr>
          <w:rStyle w:val="default"/>
          <w:rFonts w:cs="FrankRuehl" w:hint="cs"/>
          <w:b/>
          <w:bCs/>
          <w:vanish/>
          <w:szCs w:val="20"/>
          <w:shd w:val="clear" w:color="auto" w:fill="FFFF99"/>
          <w:rtl/>
        </w:rPr>
        <w:t>צו תשס"ה-2005</w:t>
      </w:r>
    </w:p>
    <w:p w14:paraId="2F46ED97" w14:textId="77777777" w:rsidR="009612B8" w:rsidRPr="003359EC" w:rsidRDefault="009612B8">
      <w:pPr>
        <w:pStyle w:val="P00"/>
        <w:spacing w:before="0"/>
        <w:ind w:left="624" w:right="1134"/>
        <w:rPr>
          <w:rStyle w:val="default"/>
          <w:rFonts w:cs="FrankRuehl" w:hint="cs"/>
          <w:vanish/>
          <w:szCs w:val="20"/>
          <w:shd w:val="clear" w:color="auto" w:fill="FFFF99"/>
          <w:rtl/>
        </w:rPr>
      </w:pPr>
      <w:hyperlink r:id="rId6" w:history="1">
        <w:r w:rsidRPr="003359EC">
          <w:rPr>
            <w:rStyle w:val="Hyperlink"/>
            <w:rFonts w:hint="cs"/>
            <w:vanish/>
            <w:szCs w:val="20"/>
            <w:shd w:val="clear" w:color="auto" w:fill="FFFF99"/>
            <w:rtl/>
          </w:rPr>
          <w:t>ק"ת תשס"ה מס' 6385</w:t>
        </w:r>
      </w:hyperlink>
      <w:r w:rsidRPr="003359EC">
        <w:rPr>
          <w:rStyle w:val="default"/>
          <w:rFonts w:cs="FrankRuehl" w:hint="cs"/>
          <w:vanish/>
          <w:szCs w:val="20"/>
          <w:shd w:val="clear" w:color="auto" w:fill="FFFF99"/>
          <w:rtl/>
        </w:rPr>
        <w:t xml:space="preserve"> מיום 9.5.2005 עמ' 640</w:t>
      </w:r>
    </w:p>
    <w:p w14:paraId="4F1576C6" w14:textId="77777777" w:rsidR="009612B8" w:rsidRPr="003359EC" w:rsidRDefault="009612B8">
      <w:pPr>
        <w:pStyle w:val="P00"/>
        <w:spacing w:before="0"/>
        <w:ind w:left="624" w:right="1134"/>
        <w:rPr>
          <w:rStyle w:val="default"/>
          <w:rFonts w:cs="FrankRuehl" w:hint="cs"/>
          <w:vanish/>
          <w:szCs w:val="20"/>
          <w:shd w:val="clear" w:color="auto" w:fill="FFFF99"/>
          <w:rtl/>
        </w:rPr>
      </w:pPr>
      <w:r w:rsidRPr="003359EC">
        <w:rPr>
          <w:rStyle w:val="default"/>
          <w:rFonts w:cs="FrankRuehl" w:hint="cs"/>
          <w:b/>
          <w:bCs/>
          <w:vanish/>
          <w:szCs w:val="20"/>
          <w:shd w:val="clear" w:color="auto" w:fill="FFFF99"/>
          <w:rtl/>
        </w:rPr>
        <w:t>הוספת פסקה 1(5)</w:t>
      </w:r>
    </w:p>
    <w:p w14:paraId="057A5742" w14:textId="77777777" w:rsidR="009612B8" w:rsidRPr="003359EC" w:rsidRDefault="009612B8">
      <w:pPr>
        <w:pStyle w:val="P00"/>
        <w:spacing w:before="0"/>
        <w:ind w:left="624" w:right="1134"/>
        <w:rPr>
          <w:rStyle w:val="default"/>
          <w:rFonts w:cs="FrankRuehl" w:hint="cs"/>
          <w:vanish/>
          <w:szCs w:val="20"/>
          <w:shd w:val="clear" w:color="auto" w:fill="FFFF99"/>
          <w:rtl/>
        </w:rPr>
      </w:pPr>
    </w:p>
    <w:p w14:paraId="417243D6" w14:textId="77777777" w:rsidR="009612B8" w:rsidRPr="003359EC" w:rsidRDefault="009612B8">
      <w:pPr>
        <w:pStyle w:val="P00"/>
        <w:spacing w:before="0"/>
        <w:ind w:left="624" w:right="1134"/>
        <w:rPr>
          <w:rStyle w:val="default"/>
          <w:rFonts w:cs="FrankRuehl" w:hint="cs"/>
          <w:vanish/>
          <w:color w:val="FF0000"/>
          <w:szCs w:val="20"/>
          <w:shd w:val="clear" w:color="auto" w:fill="FFFF99"/>
          <w:rtl/>
        </w:rPr>
      </w:pPr>
      <w:r w:rsidRPr="003359EC">
        <w:rPr>
          <w:rStyle w:val="default"/>
          <w:rFonts w:cs="FrankRuehl" w:hint="cs"/>
          <w:vanish/>
          <w:color w:val="FF0000"/>
          <w:szCs w:val="20"/>
          <w:shd w:val="clear" w:color="auto" w:fill="FFFF99"/>
          <w:rtl/>
        </w:rPr>
        <w:t>מיום 23.10.2006</w:t>
      </w:r>
    </w:p>
    <w:p w14:paraId="57A13FCF" w14:textId="77777777" w:rsidR="009612B8" w:rsidRPr="003359EC" w:rsidRDefault="009612B8">
      <w:pPr>
        <w:pStyle w:val="P00"/>
        <w:spacing w:before="0"/>
        <w:ind w:left="624" w:right="1134"/>
        <w:rPr>
          <w:rStyle w:val="default"/>
          <w:rFonts w:cs="FrankRuehl" w:hint="cs"/>
          <w:b/>
          <w:bCs/>
          <w:vanish/>
          <w:szCs w:val="20"/>
          <w:shd w:val="clear" w:color="auto" w:fill="FFFF99"/>
          <w:rtl/>
        </w:rPr>
      </w:pPr>
      <w:r w:rsidRPr="003359EC">
        <w:rPr>
          <w:rStyle w:val="default"/>
          <w:rFonts w:cs="FrankRuehl" w:hint="cs"/>
          <w:b/>
          <w:bCs/>
          <w:vanish/>
          <w:szCs w:val="20"/>
          <w:shd w:val="clear" w:color="auto" w:fill="FFFF99"/>
          <w:rtl/>
        </w:rPr>
        <w:t>צו תשס"ז-2006</w:t>
      </w:r>
    </w:p>
    <w:p w14:paraId="6019C496" w14:textId="77777777" w:rsidR="009612B8" w:rsidRPr="003359EC" w:rsidRDefault="009612B8">
      <w:pPr>
        <w:pStyle w:val="P00"/>
        <w:spacing w:before="0"/>
        <w:ind w:left="624" w:right="1134"/>
        <w:rPr>
          <w:rStyle w:val="default"/>
          <w:rFonts w:cs="FrankRuehl" w:hint="cs"/>
          <w:vanish/>
          <w:szCs w:val="20"/>
          <w:shd w:val="clear" w:color="auto" w:fill="FFFF99"/>
          <w:rtl/>
        </w:rPr>
      </w:pPr>
      <w:hyperlink r:id="rId7" w:history="1">
        <w:r w:rsidRPr="003359EC">
          <w:rPr>
            <w:rStyle w:val="Hyperlink"/>
            <w:rFonts w:hint="cs"/>
            <w:vanish/>
            <w:szCs w:val="20"/>
            <w:shd w:val="clear" w:color="auto" w:fill="FFFF99"/>
            <w:rtl/>
          </w:rPr>
          <w:t>ק"ת תשס"ז מס' 6528</w:t>
        </w:r>
      </w:hyperlink>
      <w:r w:rsidRPr="003359EC">
        <w:rPr>
          <w:rStyle w:val="default"/>
          <w:rFonts w:cs="FrankRuehl" w:hint="cs"/>
          <w:vanish/>
          <w:szCs w:val="20"/>
          <w:shd w:val="clear" w:color="auto" w:fill="FFFF99"/>
          <w:rtl/>
        </w:rPr>
        <w:t xml:space="preserve"> מיום 23.10.2006 עמ' 166</w:t>
      </w:r>
    </w:p>
    <w:p w14:paraId="579786E8" w14:textId="77777777" w:rsidR="00836573" w:rsidRPr="003359EC" w:rsidRDefault="00836573">
      <w:pPr>
        <w:pStyle w:val="P00"/>
        <w:spacing w:before="0"/>
        <w:ind w:left="624" w:right="1134"/>
        <w:rPr>
          <w:rStyle w:val="default"/>
          <w:rFonts w:cs="FrankRuehl" w:hint="cs"/>
          <w:vanish/>
          <w:szCs w:val="20"/>
          <w:shd w:val="clear" w:color="auto" w:fill="FFFF99"/>
          <w:rtl/>
        </w:rPr>
      </w:pPr>
      <w:r w:rsidRPr="003359EC">
        <w:rPr>
          <w:rStyle w:val="default"/>
          <w:rFonts w:cs="FrankRuehl" w:hint="cs"/>
          <w:b/>
          <w:bCs/>
          <w:vanish/>
          <w:szCs w:val="20"/>
          <w:shd w:val="clear" w:color="auto" w:fill="FFFF99"/>
          <w:rtl/>
        </w:rPr>
        <w:t>הוספת פסקה 1(6)</w:t>
      </w:r>
    </w:p>
    <w:p w14:paraId="6B1F5901" w14:textId="77777777" w:rsidR="00836573" w:rsidRPr="003359EC" w:rsidRDefault="00836573">
      <w:pPr>
        <w:pStyle w:val="P00"/>
        <w:spacing w:before="0"/>
        <w:ind w:left="624" w:right="1134"/>
        <w:rPr>
          <w:rStyle w:val="default"/>
          <w:rFonts w:cs="FrankRuehl" w:hint="cs"/>
          <w:vanish/>
          <w:szCs w:val="20"/>
          <w:shd w:val="clear" w:color="auto" w:fill="FFFF99"/>
          <w:rtl/>
        </w:rPr>
      </w:pPr>
    </w:p>
    <w:p w14:paraId="2CA67CB1" w14:textId="77777777" w:rsidR="00836573" w:rsidRPr="003359EC" w:rsidRDefault="00836573">
      <w:pPr>
        <w:pStyle w:val="P00"/>
        <w:spacing w:before="0"/>
        <w:ind w:left="624" w:right="1134"/>
        <w:rPr>
          <w:rStyle w:val="default"/>
          <w:rFonts w:cs="FrankRuehl" w:hint="cs"/>
          <w:vanish/>
          <w:color w:val="FF0000"/>
          <w:szCs w:val="20"/>
          <w:shd w:val="clear" w:color="auto" w:fill="FFFF99"/>
          <w:rtl/>
        </w:rPr>
      </w:pPr>
      <w:r w:rsidRPr="003359EC">
        <w:rPr>
          <w:rStyle w:val="default"/>
          <w:rFonts w:cs="FrankRuehl" w:hint="cs"/>
          <w:vanish/>
          <w:color w:val="FF0000"/>
          <w:szCs w:val="20"/>
          <w:shd w:val="clear" w:color="auto" w:fill="FFFF99"/>
          <w:rtl/>
        </w:rPr>
        <w:t>מיום 1.8.2010</w:t>
      </w:r>
    </w:p>
    <w:p w14:paraId="0A0A5990" w14:textId="77777777" w:rsidR="00836573" w:rsidRPr="003359EC" w:rsidRDefault="00836573">
      <w:pPr>
        <w:pStyle w:val="P00"/>
        <w:spacing w:before="0"/>
        <w:ind w:left="624" w:right="1134"/>
        <w:rPr>
          <w:rStyle w:val="default"/>
          <w:rFonts w:cs="FrankRuehl" w:hint="cs"/>
          <w:vanish/>
          <w:szCs w:val="20"/>
          <w:shd w:val="clear" w:color="auto" w:fill="FFFF99"/>
          <w:rtl/>
        </w:rPr>
      </w:pPr>
      <w:r w:rsidRPr="003359EC">
        <w:rPr>
          <w:rStyle w:val="default"/>
          <w:rFonts w:cs="FrankRuehl" w:hint="cs"/>
          <w:b/>
          <w:bCs/>
          <w:vanish/>
          <w:szCs w:val="20"/>
          <w:shd w:val="clear" w:color="auto" w:fill="FFFF99"/>
          <w:rtl/>
        </w:rPr>
        <w:t>צו תש"ע-2010</w:t>
      </w:r>
    </w:p>
    <w:p w14:paraId="4A1A92D3" w14:textId="77777777" w:rsidR="00836573" w:rsidRPr="003359EC" w:rsidRDefault="00836573">
      <w:pPr>
        <w:pStyle w:val="P00"/>
        <w:spacing w:before="0"/>
        <w:ind w:left="624" w:right="1134"/>
        <w:rPr>
          <w:rStyle w:val="default"/>
          <w:rFonts w:cs="FrankRuehl" w:hint="cs"/>
          <w:vanish/>
          <w:szCs w:val="20"/>
          <w:shd w:val="clear" w:color="auto" w:fill="FFFF99"/>
          <w:rtl/>
        </w:rPr>
      </w:pPr>
      <w:hyperlink r:id="rId8" w:history="1">
        <w:r w:rsidRPr="003359EC">
          <w:rPr>
            <w:rStyle w:val="Hyperlink"/>
            <w:rFonts w:hint="cs"/>
            <w:vanish/>
            <w:szCs w:val="20"/>
            <w:shd w:val="clear" w:color="auto" w:fill="FFFF99"/>
            <w:rtl/>
          </w:rPr>
          <w:t>ק"ת תש"ע מס' 6916</w:t>
        </w:r>
      </w:hyperlink>
      <w:r w:rsidRPr="003359EC">
        <w:rPr>
          <w:rStyle w:val="default"/>
          <w:rFonts w:cs="FrankRuehl" w:hint="cs"/>
          <w:vanish/>
          <w:szCs w:val="20"/>
          <w:shd w:val="clear" w:color="auto" w:fill="FFFF99"/>
          <w:rtl/>
        </w:rPr>
        <w:t xml:space="preserve"> מיום 1.8.2010 עמ' 1458</w:t>
      </w:r>
    </w:p>
    <w:p w14:paraId="787F7440" w14:textId="77777777" w:rsidR="009612B8" w:rsidRDefault="009612B8" w:rsidP="00836573">
      <w:pPr>
        <w:pStyle w:val="P00"/>
        <w:spacing w:before="0"/>
        <w:ind w:left="624" w:right="1134"/>
        <w:rPr>
          <w:rStyle w:val="default"/>
          <w:rFonts w:cs="FrankRuehl" w:hint="cs"/>
          <w:b/>
          <w:bCs/>
          <w:sz w:val="2"/>
          <w:szCs w:val="2"/>
          <w:shd w:val="clear" w:color="auto" w:fill="FFFF99"/>
          <w:rtl/>
        </w:rPr>
      </w:pPr>
      <w:r w:rsidRPr="003359EC">
        <w:rPr>
          <w:rStyle w:val="default"/>
          <w:rFonts w:cs="FrankRuehl" w:hint="cs"/>
          <w:b/>
          <w:bCs/>
          <w:vanish/>
          <w:szCs w:val="20"/>
          <w:shd w:val="clear" w:color="auto" w:fill="FFFF99"/>
          <w:rtl/>
        </w:rPr>
        <w:t>הוספת פסקה 1(</w:t>
      </w:r>
      <w:r w:rsidR="00836573" w:rsidRPr="003359EC">
        <w:rPr>
          <w:rStyle w:val="default"/>
          <w:rFonts w:cs="FrankRuehl" w:hint="cs"/>
          <w:b/>
          <w:bCs/>
          <w:vanish/>
          <w:szCs w:val="20"/>
          <w:shd w:val="clear" w:color="auto" w:fill="FFFF99"/>
          <w:rtl/>
        </w:rPr>
        <w:t>7</w:t>
      </w:r>
      <w:r w:rsidRPr="003359EC">
        <w:rPr>
          <w:rStyle w:val="default"/>
          <w:rFonts w:cs="FrankRuehl" w:hint="cs"/>
          <w:b/>
          <w:bCs/>
          <w:vanish/>
          <w:szCs w:val="20"/>
          <w:shd w:val="clear" w:color="auto" w:fill="FFFF99"/>
          <w:rtl/>
        </w:rPr>
        <w:t>)</w:t>
      </w:r>
      <w:bookmarkEnd w:id="1"/>
    </w:p>
    <w:p w14:paraId="4C9BC604" w14:textId="77777777" w:rsidR="009612B8" w:rsidRDefault="009612B8">
      <w:pPr>
        <w:pStyle w:val="P00"/>
        <w:spacing w:before="72"/>
        <w:ind w:left="0" w:right="1134"/>
        <w:rPr>
          <w:rStyle w:val="default"/>
          <w:rFonts w:cs="FrankRuehl" w:hint="cs"/>
          <w:rtl/>
        </w:rPr>
      </w:pPr>
    </w:p>
    <w:p w14:paraId="0F087095" w14:textId="77777777" w:rsidR="009612B8" w:rsidRDefault="009612B8">
      <w:pPr>
        <w:pStyle w:val="P00"/>
        <w:spacing w:before="72"/>
        <w:ind w:left="0" w:right="1134"/>
        <w:rPr>
          <w:rStyle w:val="default"/>
          <w:rFonts w:cs="FrankRuehl" w:hint="cs"/>
          <w:rtl/>
        </w:rPr>
      </w:pPr>
    </w:p>
    <w:p w14:paraId="51D3B189" w14:textId="77777777" w:rsidR="009612B8" w:rsidRDefault="009612B8">
      <w:pPr>
        <w:pStyle w:val="sig-0"/>
        <w:ind w:left="0" w:right="1134"/>
        <w:rPr>
          <w:rtl/>
        </w:rPr>
      </w:pPr>
      <w:r>
        <w:rPr>
          <w:rtl/>
        </w:rPr>
        <w:t>כ</w:t>
      </w:r>
      <w:r>
        <w:rPr>
          <w:rFonts w:hint="cs"/>
          <w:rtl/>
        </w:rPr>
        <w:t>"ט באדר תשנ"ט</w:t>
      </w:r>
      <w:r>
        <w:rPr>
          <w:rtl/>
        </w:rPr>
        <w:t xml:space="preserve"> (17 </w:t>
      </w:r>
      <w:r>
        <w:rPr>
          <w:rFonts w:hint="cs"/>
          <w:rtl/>
        </w:rPr>
        <w:t>במרס 1999)</w:t>
      </w:r>
      <w:r>
        <w:rPr>
          <w:rtl/>
        </w:rPr>
        <w:tab/>
      </w:r>
      <w:r>
        <w:rPr>
          <w:rFonts w:hint="cs"/>
          <w:rtl/>
        </w:rPr>
        <w:t>משה ארנס</w:t>
      </w:r>
    </w:p>
    <w:p w14:paraId="414EB175" w14:textId="77777777" w:rsidR="009612B8" w:rsidRDefault="009612B8">
      <w:pPr>
        <w:pStyle w:val="sig-1"/>
        <w:widowControl/>
        <w:ind w:left="0" w:right="1134"/>
        <w:rPr>
          <w:rStyle w:val="default"/>
          <w:rFonts w:cs="FrankRuehl"/>
          <w:sz w:val="22"/>
          <w:szCs w:val="22"/>
          <w:rtl/>
        </w:rPr>
      </w:pPr>
      <w:r>
        <w:rPr>
          <w:sz w:val="22"/>
          <w:rtl/>
        </w:rPr>
        <w:tab/>
      </w:r>
      <w:r>
        <w:rPr>
          <w:sz w:val="22"/>
          <w:rtl/>
        </w:rPr>
        <w:tab/>
      </w:r>
      <w:r>
        <w:rPr>
          <w:sz w:val="22"/>
          <w:rtl/>
        </w:rPr>
        <w:tab/>
      </w:r>
      <w:r>
        <w:rPr>
          <w:rStyle w:val="default"/>
          <w:rFonts w:cs="FrankRuehl"/>
          <w:sz w:val="22"/>
          <w:szCs w:val="22"/>
          <w:rtl/>
        </w:rPr>
        <w:t>ש</w:t>
      </w:r>
      <w:r>
        <w:rPr>
          <w:rStyle w:val="default"/>
          <w:rFonts w:cs="FrankRuehl" w:hint="cs"/>
          <w:sz w:val="22"/>
          <w:szCs w:val="22"/>
          <w:rtl/>
        </w:rPr>
        <w:t>ר הבטחון</w:t>
      </w:r>
    </w:p>
    <w:p w14:paraId="02FAA36F" w14:textId="77777777" w:rsidR="009612B8" w:rsidRDefault="009612B8">
      <w:pPr>
        <w:pStyle w:val="P00"/>
        <w:spacing w:before="72"/>
        <w:ind w:left="0" w:right="1134"/>
        <w:rPr>
          <w:rStyle w:val="default"/>
          <w:rFonts w:cs="FrankRuehl"/>
          <w:rtl/>
        </w:rPr>
      </w:pPr>
    </w:p>
    <w:p w14:paraId="645C8934" w14:textId="77777777" w:rsidR="009612B8" w:rsidRDefault="009612B8">
      <w:pPr>
        <w:pStyle w:val="P00"/>
        <w:spacing w:before="72"/>
        <w:ind w:left="0" w:right="1134"/>
        <w:rPr>
          <w:rStyle w:val="default"/>
          <w:rFonts w:cs="FrankRuehl"/>
          <w:rtl/>
        </w:rPr>
      </w:pPr>
    </w:p>
    <w:p w14:paraId="4D086C5B" w14:textId="77777777" w:rsidR="009612B8" w:rsidRDefault="009612B8">
      <w:pPr>
        <w:pStyle w:val="P00"/>
        <w:spacing w:before="72"/>
        <w:ind w:left="0" w:right="1134"/>
        <w:rPr>
          <w:rStyle w:val="default"/>
          <w:rFonts w:cs="FrankRuehl"/>
          <w:rtl/>
        </w:rPr>
      </w:pPr>
      <w:bookmarkStart w:id="2" w:name="LawPartEnd"/>
    </w:p>
    <w:bookmarkEnd w:id="2"/>
    <w:p w14:paraId="5731AF15" w14:textId="77777777" w:rsidR="009612B8" w:rsidRDefault="009612B8">
      <w:pPr>
        <w:pStyle w:val="P00"/>
        <w:spacing w:before="72"/>
        <w:ind w:left="0" w:right="1134"/>
        <w:rPr>
          <w:rStyle w:val="default"/>
          <w:rFonts w:cs="FrankRuehl"/>
          <w:rtl/>
        </w:rPr>
      </w:pPr>
    </w:p>
    <w:sectPr w:rsidR="009612B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96A93" w14:textId="77777777" w:rsidR="004B363C" w:rsidRDefault="004B363C">
      <w:r>
        <w:separator/>
      </w:r>
    </w:p>
  </w:endnote>
  <w:endnote w:type="continuationSeparator" w:id="0">
    <w:p w14:paraId="60AC323B" w14:textId="77777777" w:rsidR="004B363C" w:rsidRDefault="004B3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8A92A" w14:textId="77777777" w:rsidR="009612B8" w:rsidRDefault="009612B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DEA8F7" w14:textId="77777777" w:rsidR="009612B8" w:rsidRDefault="009612B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04FD8D" w14:textId="77777777" w:rsidR="009612B8" w:rsidRDefault="009612B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Z:\00000000-law\yael\06-10-24\P199_100.doc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ED364" w14:textId="77777777" w:rsidR="009612B8" w:rsidRDefault="009612B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409D">
      <w:rPr>
        <w:rFonts w:hAnsi="FrankRuehl" w:cs="FrankRuehl"/>
        <w:noProof/>
        <w:sz w:val="24"/>
        <w:szCs w:val="24"/>
        <w:rtl/>
      </w:rPr>
      <w:t>2</w:t>
    </w:r>
    <w:r>
      <w:rPr>
        <w:rFonts w:hAnsi="FrankRuehl" w:cs="FrankRuehl"/>
        <w:sz w:val="24"/>
        <w:szCs w:val="24"/>
        <w:rtl/>
      </w:rPr>
      <w:fldChar w:fldCharType="end"/>
    </w:r>
  </w:p>
  <w:p w14:paraId="64A0723A" w14:textId="77777777" w:rsidR="009612B8" w:rsidRDefault="009612B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A4AFF2C" w14:textId="77777777" w:rsidR="009612B8" w:rsidRDefault="009612B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Z:\00000000-law\yael\06-10-24\P199_100.doc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CCD31" w14:textId="77777777" w:rsidR="004B363C" w:rsidRDefault="004B363C">
      <w:pPr>
        <w:spacing w:before="60" w:line="240" w:lineRule="auto"/>
        <w:ind w:right="1134"/>
      </w:pPr>
      <w:r>
        <w:separator/>
      </w:r>
    </w:p>
  </w:footnote>
  <w:footnote w:type="continuationSeparator" w:id="0">
    <w:p w14:paraId="390DD559" w14:textId="77777777" w:rsidR="004B363C" w:rsidRDefault="004B363C">
      <w:r>
        <w:separator/>
      </w:r>
    </w:p>
  </w:footnote>
  <w:footnote w:id="1">
    <w:p w14:paraId="54DED7CD" w14:textId="77777777" w:rsidR="009612B8" w:rsidRDefault="009612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3F1419">
          <w:rPr>
            <w:rStyle w:val="Hyperlink"/>
            <w:rFonts w:hint="cs"/>
            <w:sz w:val="20"/>
            <w:rtl/>
          </w:rPr>
          <w:t>ק"ת תשנ"ט מס' 5967</w:t>
        </w:r>
      </w:hyperlink>
      <w:r>
        <w:rPr>
          <w:rFonts w:hint="cs"/>
          <w:sz w:val="20"/>
          <w:rtl/>
        </w:rPr>
        <w:t xml:space="preserve"> מיום 25.4.1999 עמ' 672.</w:t>
      </w:r>
    </w:p>
    <w:p w14:paraId="0409AB84" w14:textId="77777777" w:rsidR="009612B8" w:rsidRDefault="009612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Pr>
            <w:rStyle w:val="Hyperlink"/>
            <w:rFonts w:hint="cs"/>
            <w:sz w:val="20"/>
            <w:rtl/>
          </w:rPr>
          <w:t>ק"ת תשס"ה מס' 6385</w:t>
        </w:r>
      </w:hyperlink>
      <w:r>
        <w:rPr>
          <w:rFonts w:hint="cs"/>
          <w:sz w:val="20"/>
          <w:rtl/>
        </w:rPr>
        <w:t xml:space="preserve"> מיום 9.5.2005 עמ' 640 </w:t>
      </w:r>
      <w:r>
        <w:rPr>
          <w:sz w:val="20"/>
          <w:rtl/>
        </w:rPr>
        <w:t>–</w:t>
      </w:r>
      <w:r>
        <w:rPr>
          <w:rFonts w:hint="cs"/>
          <w:sz w:val="20"/>
          <w:rtl/>
        </w:rPr>
        <w:t xml:space="preserve"> צו תשס"ה-2005.</w:t>
      </w:r>
    </w:p>
    <w:p w14:paraId="0205AAD8" w14:textId="77777777" w:rsidR="009612B8" w:rsidRDefault="009612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תשס"ז מס' 6528</w:t>
        </w:r>
      </w:hyperlink>
      <w:r>
        <w:rPr>
          <w:rFonts w:hint="cs"/>
          <w:sz w:val="20"/>
          <w:rtl/>
        </w:rPr>
        <w:t xml:space="preserve"> מיום 23.10.2006 עמ' 166 </w:t>
      </w:r>
      <w:r>
        <w:rPr>
          <w:sz w:val="20"/>
          <w:rtl/>
        </w:rPr>
        <w:t>–</w:t>
      </w:r>
      <w:r>
        <w:rPr>
          <w:rFonts w:hint="cs"/>
          <w:sz w:val="20"/>
          <w:rtl/>
        </w:rPr>
        <w:t xml:space="preserve"> צו תשס"ז-2006.</w:t>
      </w:r>
    </w:p>
    <w:p w14:paraId="2E77C350" w14:textId="77777777" w:rsidR="0057409D" w:rsidRDefault="0057409D" w:rsidP="0057409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836573" w:rsidRPr="0057409D">
          <w:rPr>
            <w:rStyle w:val="Hyperlink"/>
            <w:rFonts w:hint="cs"/>
            <w:sz w:val="20"/>
            <w:rtl/>
          </w:rPr>
          <w:t>ק"ת תש"ע מס' 6916</w:t>
        </w:r>
      </w:hyperlink>
      <w:r w:rsidR="00836573">
        <w:rPr>
          <w:rFonts w:hint="cs"/>
          <w:sz w:val="20"/>
          <w:rtl/>
        </w:rPr>
        <w:t xml:space="preserve"> מיום 1.8.2010 עמ' 1458 </w:t>
      </w:r>
      <w:r w:rsidR="00836573">
        <w:rPr>
          <w:sz w:val="20"/>
          <w:rtl/>
        </w:rPr>
        <w:t>–</w:t>
      </w:r>
      <w:r w:rsidR="00836573">
        <w:rPr>
          <w:rFonts w:hint="cs"/>
          <w:sz w:val="20"/>
          <w:rtl/>
        </w:rPr>
        <w:t xml:space="preserve"> צו תש"ע-2010.</w:t>
      </w:r>
      <w:r>
        <w:rPr>
          <w:rFonts w:hint="cs"/>
          <w:sz w:val="20"/>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86B27" w14:textId="77777777" w:rsidR="009612B8" w:rsidRDefault="009612B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השיפוט הצבאי (קביעת גוף ציבורי), תשנ"ט–1999</w:t>
    </w:r>
  </w:p>
  <w:p w14:paraId="17C35DC2" w14:textId="77777777" w:rsidR="009612B8" w:rsidRDefault="009612B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F0A3DC" w14:textId="77777777" w:rsidR="009612B8" w:rsidRDefault="009612B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55F2" w14:textId="77777777" w:rsidR="009612B8" w:rsidRDefault="009612B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השיפוט הצבאי (קביעת גוף ציבורי), תשנ"ט</w:t>
    </w:r>
    <w:r>
      <w:rPr>
        <w:rFonts w:hAnsi="FrankRuehl" w:cs="FrankRuehl" w:hint="cs"/>
        <w:color w:val="000000"/>
        <w:sz w:val="28"/>
        <w:szCs w:val="28"/>
        <w:rtl/>
      </w:rPr>
      <w:t>-</w:t>
    </w:r>
    <w:r>
      <w:rPr>
        <w:rFonts w:hAnsi="FrankRuehl" w:cs="FrankRuehl"/>
        <w:color w:val="000000"/>
        <w:sz w:val="28"/>
        <w:szCs w:val="28"/>
        <w:rtl/>
      </w:rPr>
      <w:t>1999</w:t>
    </w:r>
  </w:p>
  <w:p w14:paraId="51D60EF0" w14:textId="77777777" w:rsidR="009612B8" w:rsidRDefault="009612B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07E7DA" w14:textId="77777777" w:rsidR="009612B8" w:rsidRDefault="009612B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1419"/>
    <w:rsid w:val="00164BFC"/>
    <w:rsid w:val="003359EC"/>
    <w:rsid w:val="003F1419"/>
    <w:rsid w:val="004B363C"/>
    <w:rsid w:val="0057409D"/>
    <w:rsid w:val="005B6D51"/>
    <w:rsid w:val="008020E1"/>
    <w:rsid w:val="00816685"/>
    <w:rsid w:val="00836573"/>
    <w:rsid w:val="009612B8"/>
    <w:rsid w:val="00A3279D"/>
    <w:rsid w:val="00AA49BA"/>
    <w:rsid w:val="00F875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91D0D88"/>
  <w15:chartTrackingRefBased/>
  <w15:docId w15:val="{2DD4B43E-85F5-45EE-9AAE-B73931AE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916.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528.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85.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528.pdf" TargetMode="External"/><Relationship Id="rId2" Type="http://schemas.openxmlformats.org/officeDocument/2006/relationships/hyperlink" Target="http://www.nevo.co.il/Law_word/law06/tak-6385.pdf" TargetMode="External"/><Relationship Id="rId1" Type="http://schemas.openxmlformats.org/officeDocument/2006/relationships/hyperlink" Target="http://www.nevo.co.il/Law_word/law06/TAK-5967.pdf" TargetMode="External"/><Relationship Id="rId4" Type="http://schemas.openxmlformats.org/officeDocument/2006/relationships/hyperlink" Target="http://www.nevo.co.il/Law_word/law06/tak-69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1546</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פרק 199</vt:lpstr>
    </vt:vector>
  </TitlesOfParts>
  <Company/>
  <LinksUpToDate>false</LinksUpToDate>
  <CharactersWithSpaces>1814</CharactersWithSpaces>
  <SharedDoc>false</SharedDoc>
  <HLinks>
    <vt:vector size="48" baseType="variant">
      <vt:variant>
        <vt:i4>8257543</vt:i4>
      </vt:variant>
      <vt:variant>
        <vt:i4>12</vt:i4>
      </vt:variant>
      <vt:variant>
        <vt:i4>0</vt:i4>
      </vt:variant>
      <vt:variant>
        <vt:i4>5</vt:i4>
      </vt:variant>
      <vt:variant>
        <vt:lpwstr>http://www.nevo.co.il/Law_word/law06/tak-6916.pdf</vt:lpwstr>
      </vt:variant>
      <vt:variant>
        <vt:lpwstr/>
      </vt:variant>
      <vt:variant>
        <vt:i4>8192005</vt:i4>
      </vt:variant>
      <vt:variant>
        <vt:i4>9</vt:i4>
      </vt:variant>
      <vt:variant>
        <vt:i4>0</vt:i4>
      </vt:variant>
      <vt:variant>
        <vt:i4>5</vt:i4>
      </vt:variant>
      <vt:variant>
        <vt:lpwstr>http://www.nevo.co.il/Law_word/law06/TAK-6528.pdf</vt:lpwstr>
      </vt:variant>
      <vt:variant>
        <vt:lpwstr/>
      </vt:variant>
      <vt:variant>
        <vt:i4>7798798</vt:i4>
      </vt:variant>
      <vt:variant>
        <vt:i4>6</vt:i4>
      </vt:variant>
      <vt:variant>
        <vt:i4>0</vt:i4>
      </vt:variant>
      <vt:variant>
        <vt:i4>5</vt:i4>
      </vt:variant>
      <vt:variant>
        <vt:lpwstr>http://www.nevo.co.il/Law_word/law06/TAK-6385.pdf</vt:lpwstr>
      </vt:variant>
      <vt:variant>
        <vt:lpwstr/>
      </vt:variant>
      <vt:variant>
        <vt:i4>196634</vt:i4>
      </vt:variant>
      <vt:variant>
        <vt:i4>3</vt:i4>
      </vt:variant>
      <vt:variant>
        <vt:i4>0</vt:i4>
      </vt:variant>
      <vt:variant>
        <vt:i4>5</vt:i4>
      </vt:variant>
      <vt:variant>
        <vt:lpwstr/>
      </vt:variant>
      <vt:variant>
        <vt:lpwstr>Seif0</vt:lpwstr>
      </vt:variant>
      <vt:variant>
        <vt:i4>8257543</vt:i4>
      </vt:variant>
      <vt:variant>
        <vt:i4>9</vt:i4>
      </vt:variant>
      <vt:variant>
        <vt:i4>0</vt:i4>
      </vt:variant>
      <vt:variant>
        <vt:i4>5</vt:i4>
      </vt:variant>
      <vt:variant>
        <vt:lpwstr>http://www.nevo.co.il/Law_word/law06/tak-6916.pdf</vt:lpwstr>
      </vt:variant>
      <vt:variant>
        <vt:lpwstr/>
      </vt:variant>
      <vt:variant>
        <vt:i4>8192005</vt:i4>
      </vt:variant>
      <vt:variant>
        <vt:i4>6</vt:i4>
      </vt:variant>
      <vt:variant>
        <vt:i4>0</vt:i4>
      </vt:variant>
      <vt:variant>
        <vt:i4>5</vt:i4>
      </vt:variant>
      <vt:variant>
        <vt:lpwstr>http://www.nevo.co.il/Law_word/law06/tak-6528.pdf</vt:lpwstr>
      </vt:variant>
      <vt:variant>
        <vt:lpwstr/>
      </vt:variant>
      <vt:variant>
        <vt:i4>7798798</vt:i4>
      </vt:variant>
      <vt:variant>
        <vt:i4>3</vt:i4>
      </vt:variant>
      <vt:variant>
        <vt:i4>0</vt:i4>
      </vt:variant>
      <vt:variant>
        <vt:i4>5</vt:i4>
      </vt:variant>
      <vt:variant>
        <vt:lpwstr>http://www.nevo.co.il/Law_word/law06/tak-6385.pdf</vt:lpwstr>
      </vt:variant>
      <vt:variant>
        <vt:lpwstr/>
      </vt:variant>
      <vt:variant>
        <vt:i4>7995398</vt:i4>
      </vt:variant>
      <vt:variant>
        <vt:i4>0</vt:i4>
      </vt:variant>
      <vt:variant>
        <vt:i4>0</vt:i4>
      </vt:variant>
      <vt:variant>
        <vt:i4>5</vt:i4>
      </vt:variant>
      <vt:variant>
        <vt:lpwstr>http://www.nevo.co.il/Law_word/law06/TAK-5967.pdf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user</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צו השיפוט הצבאי (קביעת גוף ציבורי), תשנ"ט-1999</vt:lpwstr>
  </property>
  <property fmtid="{D5CDD505-2E9C-101B-9397-08002B2CF9AE}" pid="5" name="LAWNUMBER">
    <vt:lpwstr>0100</vt:lpwstr>
  </property>
  <property fmtid="{D5CDD505-2E9C-101B-9397-08002B2CF9AE}" pid="6" name="TYPE">
    <vt:lpwstr>01</vt:lpwstr>
  </property>
  <property fmtid="{D5CDD505-2E9C-101B-9397-08002B2CF9AE}" pid="7" name="LINKK1">
    <vt:lpwstr>http://www.nevo.co.il/Law_word/law06/tak-6528.pdf;רשומות - תקנות כלליות#ק"ת תשס"ז מס' 6528 #מיום 23.10.2006 #עמ' 166 – צו תשס"ז-2006</vt:lpwstr>
  </property>
  <property fmtid="{D5CDD505-2E9C-101B-9397-08002B2CF9AE}" pid="8" name="LINKK2">
    <vt:lpwstr>http://www.nevo.co.il/Law_word/law06/tak-6385.pdf;רשומות – תקנות כלליות#תוקן ק"ת תשס"ה מס' 6385#מיום 9.5.2005#עמ' 640#צו תשס"ה-2005</vt:lpwstr>
  </property>
  <property fmtid="{D5CDD505-2E9C-101B-9397-08002B2CF9AE}" pid="9" name="LINKK3">
    <vt:lpwstr>http://www.nevo.co.il/Law_word/law06/tak-6916.pdf;‎רשומות – תקנות כלליות#ק"ת תש"ע מס' ‏‏6916#מיום 1.8.2010#עמ' 1458#צו תש"ע-2010‏</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שיפוט צבאי</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ועדות חקירה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השיפוט הצבאי</vt:lpwstr>
  </property>
  <property fmtid="{D5CDD505-2E9C-101B-9397-08002B2CF9AE}" pid="63" name="MEKOR_SAIF1">
    <vt:lpwstr>539אXאX</vt:lpwstr>
  </property>
  <property fmtid="{D5CDD505-2E9C-101B-9397-08002B2CF9AE}" pid="64" name="MEKORSAMCHUT">
    <vt:lpwstr/>
  </property>
</Properties>
</file>