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09FF5E" w14:textId="77777777" w:rsidR="007B1C65" w:rsidRDefault="007B1C65">
      <w:pPr>
        <w:pStyle w:val="big-header"/>
        <w:ind w:left="0" w:right="1134"/>
        <w:rPr>
          <w:rFonts w:cs="FrankRuehl" w:hint="cs"/>
          <w:sz w:val="32"/>
          <w:rtl/>
        </w:rPr>
      </w:pPr>
      <w:r>
        <w:rPr>
          <w:rFonts w:cs="FrankRuehl"/>
          <w:sz w:val="32"/>
          <w:rtl/>
        </w:rPr>
        <w:t>צו התגמולים לנפגעי פעולות איבה (החלת תקנות לפי חוק משפחות חיילים), תשמ"ז</w:t>
      </w:r>
      <w:r>
        <w:rPr>
          <w:rFonts w:cs="FrankRuehl" w:hint="cs"/>
          <w:sz w:val="32"/>
          <w:rtl/>
        </w:rPr>
        <w:t>-</w:t>
      </w:r>
      <w:r>
        <w:rPr>
          <w:rFonts w:cs="FrankRuehl"/>
          <w:sz w:val="32"/>
          <w:rtl/>
        </w:rPr>
        <w:t>1986</w:t>
      </w:r>
    </w:p>
    <w:p w14:paraId="2996978F" w14:textId="77777777" w:rsidR="0090048F" w:rsidRPr="0090048F" w:rsidRDefault="0090048F" w:rsidP="0090048F">
      <w:pPr>
        <w:spacing w:line="320" w:lineRule="auto"/>
        <w:jc w:val="left"/>
        <w:rPr>
          <w:rFonts w:cs="FrankRuehl"/>
          <w:szCs w:val="26"/>
          <w:rtl/>
        </w:rPr>
      </w:pPr>
    </w:p>
    <w:p w14:paraId="11411DB2" w14:textId="77777777" w:rsidR="0090048F" w:rsidRDefault="0090048F" w:rsidP="0090048F">
      <w:pPr>
        <w:spacing w:line="320" w:lineRule="auto"/>
        <w:jc w:val="left"/>
        <w:rPr>
          <w:rFonts w:cs="Miriam"/>
          <w:szCs w:val="22"/>
          <w:rtl/>
        </w:rPr>
      </w:pPr>
      <w:r w:rsidRPr="0090048F">
        <w:rPr>
          <w:rFonts w:cs="Miriam"/>
          <w:szCs w:val="22"/>
          <w:rtl/>
        </w:rPr>
        <w:t>בטחון</w:t>
      </w:r>
      <w:r w:rsidRPr="0090048F">
        <w:rPr>
          <w:rFonts w:cs="FrankRuehl"/>
          <w:szCs w:val="26"/>
          <w:rtl/>
        </w:rPr>
        <w:t xml:space="preserve"> – נפגעי פעולות איבה</w:t>
      </w:r>
    </w:p>
    <w:p w14:paraId="0A1CF9DA" w14:textId="77777777" w:rsidR="0090048F" w:rsidRDefault="0090048F" w:rsidP="0090048F">
      <w:pPr>
        <w:spacing w:line="320" w:lineRule="auto"/>
        <w:jc w:val="left"/>
        <w:rPr>
          <w:rFonts w:cs="Miriam"/>
          <w:szCs w:val="22"/>
          <w:rtl/>
        </w:rPr>
      </w:pPr>
      <w:r w:rsidRPr="0090048F">
        <w:rPr>
          <w:rFonts w:cs="Miriam"/>
          <w:szCs w:val="22"/>
          <w:rtl/>
        </w:rPr>
        <w:t>ביטוח</w:t>
      </w:r>
      <w:r w:rsidRPr="0090048F">
        <w:rPr>
          <w:rFonts w:cs="FrankRuehl"/>
          <w:szCs w:val="26"/>
          <w:rtl/>
        </w:rPr>
        <w:t xml:space="preserve"> – ביטוח לאומי – תגמולים – נפגעי פעולות איבה</w:t>
      </w:r>
    </w:p>
    <w:p w14:paraId="14A9DEEA" w14:textId="77777777" w:rsidR="0090048F" w:rsidRDefault="0090048F" w:rsidP="0090048F">
      <w:pPr>
        <w:spacing w:line="320" w:lineRule="auto"/>
        <w:jc w:val="left"/>
        <w:rPr>
          <w:rFonts w:cs="Miriam"/>
          <w:szCs w:val="22"/>
          <w:rtl/>
        </w:rPr>
      </w:pPr>
      <w:r w:rsidRPr="0090048F">
        <w:rPr>
          <w:rFonts w:cs="Miriam"/>
          <w:szCs w:val="22"/>
          <w:rtl/>
        </w:rPr>
        <w:t>בטחון</w:t>
      </w:r>
      <w:r w:rsidRPr="0090048F">
        <w:rPr>
          <w:rFonts w:cs="FrankRuehl"/>
          <w:szCs w:val="26"/>
          <w:rtl/>
        </w:rPr>
        <w:t xml:space="preserve"> – צה"ל – חיילים – משפחות חיילים שנספו</w:t>
      </w:r>
    </w:p>
    <w:p w14:paraId="53D96BC2" w14:textId="77777777" w:rsidR="004D1E30" w:rsidRPr="0090048F" w:rsidRDefault="0090048F" w:rsidP="0090048F">
      <w:pPr>
        <w:spacing w:line="320" w:lineRule="auto"/>
        <w:jc w:val="left"/>
        <w:rPr>
          <w:rFonts w:cs="Miriam"/>
          <w:szCs w:val="22"/>
          <w:rtl/>
        </w:rPr>
      </w:pPr>
      <w:r w:rsidRPr="0090048F">
        <w:rPr>
          <w:rFonts w:cs="Miriam"/>
          <w:szCs w:val="22"/>
          <w:rtl/>
        </w:rPr>
        <w:t>עבודה</w:t>
      </w:r>
      <w:r w:rsidRPr="0090048F">
        <w:rPr>
          <w:rFonts w:cs="FrankRuehl"/>
          <w:szCs w:val="26"/>
          <w:rtl/>
        </w:rPr>
        <w:t xml:space="preserve"> – העסקת קבוצות מסוימות </w:t>
      </w:r>
    </w:p>
    <w:p w14:paraId="5707C685" w14:textId="77777777" w:rsidR="007B1C65" w:rsidRDefault="007B1C65">
      <w:pPr>
        <w:pStyle w:val="big-header"/>
        <w:ind w:left="0" w:right="1134"/>
        <w:rPr>
          <w:rFonts w:cs="FrankRuehl"/>
          <w:sz w:val="32"/>
          <w:rtl/>
        </w:rPr>
      </w:pPr>
      <w:r>
        <w:rPr>
          <w:rFonts w:cs="FrankRuehl"/>
          <w:sz w:val="32"/>
          <w:rtl/>
        </w:rPr>
        <w:t>תוכן ענינים</w:t>
      </w:r>
    </w:p>
    <w:tbl>
      <w:tblPr>
        <w:tblW w:w="8333" w:type="dxa"/>
        <w:tblInd w:w="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7B1C65" w14:paraId="515FF0FB" w14:textId="77777777">
        <w:tblPrEx>
          <w:tblCellMar>
            <w:top w:w="0" w:type="dxa"/>
            <w:bottom w:w="0" w:type="dxa"/>
          </w:tblCellMar>
        </w:tblPrEx>
        <w:tc>
          <w:tcPr>
            <w:tcW w:w="850" w:type="dxa"/>
          </w:tcPr>
          <w:p w14:paraId="6057BC5F" w14:textId="77777777" w:rsidR="007B1C65" w:rsidRDefault="007B1C65">
            <w:pPr>
              <w:spacing w:line="240" w:lineRule="auto"/>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14:paraId="20E28379" w14:textId="77777777" w:rsidR="007B1C65" w:rsidRDefault="007B1C65">
            <w:pPr>
              <w:spacing w:line="240" w:lineRule="auto"/>
              <w:rPr>
                <w:sz w:val="24"/>
              </w:rPr>
            </w:pPr>
            <w:hyperlink w:anchor="Seif0" w:tooltip="הגדרות" w:history="1">
              <w:r>
                <w:rPr>
                  <w:rStyle w:val="Hyperlink"/>
                </w:rPr>
                <w:t>Go</w:t>
              </w:r>
            </w:hyperlink>
          </w:p>
        </w:tc>
        <w:tc>
          <w:tcPr>
            <w:tcW w:w="5669" w:type="dxa"/>
          </w:tcPr>
          <w:p w14:paraId="2CDA6F35" w14:textId="77777777" w:rsidR="007B1C65" w:rsidRDefault="007B1C65">
            <w:pPr>
              <w:spacing w:line="240" w:lineRule="auto"/>
              <w:rPr>
                <w:sz w:val="24"/>
                <w:rtl/>
              </w:rPr>
            </w:pPr>
            <w:r>
              <w:rPr>
                <w:sz w:val="24"/>
                <w:rtl/>
              </w:rPr>
              <w:t>הגדרות</w:t>
            </w:r>
          </w:p>
        </w:tc>
        <w:tc>
          <w:tcPr>
            <w:tcW w:w="1247" w:type="dxa"/>
          </w:tcPr>
          <w:p w14:paraId="52E90B36" w14:textId="77777777" w:rsidR="007B1C65" w:rsidRDefault="007B1C65">
            <w:pPr>
              <w:spacing w:line="240" w:lineRule="auto"/>
              <w:rPr>
                <w:sz w:val="24"/>
              </w:rPr>
            </w:pPr>
            <w:r>
              <w:rPr>
                <w:sz w:val="24"/>
                <w:rtl/>
              </w:rPr>
              <w:t xml:space="preserve">סעיף 1 </w:t>
            </w:r>
          </w:p>
        </w:tc>
      </w:tr>
      <w:tr w:rsidR="007B1C65" w14:paraId="471551AB" w14:textId="77777777">
        <w:tblPrEx>
          <w:tblCellMar>
            <w:top w:w="0" w:type="dxa"/>
            <w:bottom w:w="0" w:type="dxa"/>
          </w:tblCellMar>
        </w:tblPrEx>
        <w:tc>
          <w:tcPr>
            <w:tcW w:w="850" w:type="dxa"/>
          </w:tcPr>
          <w:p w14:paraId="68ACA945" w14:textId="77777777" w:rsidR="007B1C65" w:rsidRDefault="007B1C65">
            <w:pPr>
              <w:spacing w:line="240" w:lineRule="auto"/>
              <w:rPr>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14:paraId="42E69EF9" w14:textId="77777777" w:rsidR="007B1C65" w:rsidRDefault="007B1C65">
            <w:pPr>
              <w:spacing w:line="240" w:lineRule="auto"/>
              <w:rPr>
                <w:sz w:val="24"/>
              </w:rPr>
            </w:pPr>
            <w:hyperlink w:anchor="Seif1" w:tooltip="החלת תקנות" w:history="1">
              <w:r>
                <w:rPr>
                  <w:rStyle w:val="Hyperlink"/>
                </w:rPr>
                <w:t>Go</w:t>
              </w:r>
            </w:hyperlink>
          </w:p>
        </w:tc>
        <w:tc>
          <w:tcPr>
            <w:tcW w:w="5669" w:type="dxa"/>
          </w:tcPr>
          <w:p w14:paraId="246D874F" w14:textId="77777777" w:rsidR="007B1C65" w:rsidRDefault="007B1C65">
            <w:pPr>
              <w:spacing w:line="240" w:lineRule="auto"/>
              <w:rPr>
                <w:sz w:val="24"/>
                <w:rtl/>
              </w:rPr>
            </w:pPr>
            <w:r>
              <w:rPr>
                <w:sz w:val="24"/>
                <w:rtl/>
              </w:rPr>
              <w:t>החלת תקנות</w:t>
            </w:r>
          </w:p>
        </w:tc>
        <w:tc>
          <w:tcPr>
            <w:tcW w:w="1247" w:type="dxa"/>
          </w:tcPr>
          <w:p w14:paraId="18EC94CE" w14:textId="77777777" w:rsidR="007B1C65" w:rsidRDefault="007B1C65">
            <w:pPr>
              <w:spacing w:line="240" w:lineRule="auto"/>
              <w:rPr>
                <w:sz w:val="24"/>
              </w:rPr>
            </w:pPr>
            <w:r>
              <w:rPr>
                <w:sz w:val="24"/>
                <w:rtl/>
              </w:rPr>
              <w:t xml:space="preserve">סעיף 2 </w:t>
            </w:r>
          </w:p>
        </w:tc>
      </w:tr>
      <w:tr w:rsidR="007B1C65" w14:paraId="491B68F1" w14:textId="77777777">
        <w:tblPrEx>
          <w:tblCellMar>
            <w:top w:w="0" w:type="dxa"/>
            <w:bottom w:w="0" w:type="dxa"/>
          </w:tblCellMar>
        </w:tblPrEx>
        <w:tc>
          <w:tcPr>
            <w:tcW w:w="850" w:type="dxa"/>
          </w:tcPr>
          <w:p w14:paraId="17EAD4C1" w14:textId="77777777" w:rsidR="007B1C65" w:rsidRDefault="007B1C65">
            <w:pPr>
              <w:spacing w:line="240" w:lineRule="auto"/>
              <w:rPr>
                <w:sz w:val="24"/>
              </w:rPr>
            </w:pPr>
            <w:r>
              <w:rPr>
                <w:sz w:val="24"/>
                <w:rtl/>
              </w:rPr>
              <w:fldChar w:fldCharType="begin"/>
            </w:r>
            <w:r>
              <w:rPr>
                <w:sz w:val="24"/>
                <w:rtl/>
              </w:rPr>
              <w:instrText xml:space="preserve"> </w:instrText>
            </w:r>
            <w:r>
              <w:rPr>
                <w:sz w:val="24"/>
              </w:rPr>
              <w:instrText>PAGEREF Seif2</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14:paraId="26F0BC78" w14:textId="77777777" w:rsidR="007B1C65" w:rsidRDefault="007B1C65">
            <w:pPr>
              <w:spacing w:line="240" w:lineRule="auto"/>
              <w:rPr>
                <w:sz w:val="24"/>
              </w:rPr>
            </w:pPr>
            <w:hyperlink w:anchor="Seif2" w:tooltip="תחולה" w:history="1">
              <w:r>
                <w:rPr>
                  <w:rStyle w:val="Hyperlink"/>
                </w:rPr>
                <w:t>Go</w:t>
              </w:r>
            </w:hyperlink>
          </w:p>
        </w:tc>
        <w:tc>
          <w:tcPr>
            <w:tcW w:w="5669" w:type="dxa"/>
          </w:tcPr>
          <w:p w14:paraId="7C7AFE96" w14:textId="77777777" w:rsidR="007B1C65" w:rsidRDefault="007B1C65">
            <w:pPr>
              <w:spacing w:line="240" w:lineRule="auto"/>
              <w:rPr>
                <w:sz w:val="24"/>
                <w:rtl/>
              </w:rPr>
            </w:pPr>
            <w:r>
              <w:rPr>
                <w:sz w:val="24"/>
                <w:rtl/>
              </w:rPr>
              <w:t>תחולה</w:t>
            </w:r>
          </w:p>
        </w:tc>
        <w:tc>
          <w:tcPr>
            <w:tcW w:w="1247" w:type="dxa"/>
          </w:tcPr>
          <w:p w14:paraId="1585CD23" w14:textId="77777777" w:rsidR="007B1C65" w:rsidRDefault="007B1C65">
            <w:pPr>
              <w:spacing w:line="240" w:lineRule="auto"/>
              <w:rPr>
                <w:sz w:val="24"/>
              </w:rPr>
            </w:pPr>
            <w:r>
              <w:rPr>
                <w:sz w:val="24"/>
                <w:rtl/>
              </w:rPr>
              <w:t xml:space="preserve">סעיף 3 </w:t>
            </w:r>
          </w:p>
        </w:tc>
      </w:tr>
    </w:tbl>
    <w:p w14:paraId="3B95CC5A" w14:textId="77777777" w:rsidR="007B1C65" w:rsidRDefault="007B1C65">
      <w:pPr>
        <w:pStyle w:val="big-header"/>
        <w:ind w:left="0" w:right="1134"/>
        <w:rPr>
          <w:rFonts w:cs="FrankRuehl"/>
          <w:sz w:val="32"/>
          <w:rtl/>
        </w:rPr>
      </w:pPr>
    </w:p>
    <w:p w14:paraId="7CCD7AA0" w14:textId="77777777" w:rsidR="007B1C65" w:rsidRPr="004D1E30" w:rsidRDefault="007B1C65" w:rsidP="004D1E30">
      <w:pPr>
        <w:pStyle w:val="big-header"/>
        <w:ind w:left="0" w:right="1134"/>
        <w:rPr>
          <w:rStyle w:val="default"/>
          <w:rFonts w:cs="FrankRuehl" w:hint="cs"/>
          <w:sz w:val="32"/>
          <w:szCs w:val="32"/>
          <w:rtl/>
        </w:rPr>
      </w:pPr>
      <w:r>
        <w:rPr>
          <w:rFonts w:cs="FrankRuehl"/>
          <w:sz w:val="32"/>
          <w:rtl/>
        </w:rPr>
        <w:br w:type="page"/>
      </w:r>
      <w:r>
        <w:rPr>
          <w:rFonts w:cs="FrankRuehl"/>
          <w:sz w:val="32"/>
          <w:rtl/>
        </w:rPr>
        <w:lastRenderedPageBreak/>
        <w:t>צו</w:t>
      </w:r>
      <w:r>
        <w:rPr>
          <w:rFonts w:cs="FrankRuehl" w:hint="cs"/>
          <w:sz w:val="32"/>
          <w:rtl/>
        </w:rPr>
        <w:t xml:space="preserve"> התגמולים לנפגעי פעולות איבה (החלת תקנות לפי חוק משפחות חיילים), תשמ"ז-</w:t>
      </w:r>
      <w:r>
        <w:rPr>
          <w:rFonts w:cs="FrankRuehl"/>
          <w:sz w:val="32"/>
          <w:rtl/>
        </w:rPr>
        <w:t>1986</w:t>
      </w:r>
      <w:r>
        <w:rPr>
          <w:rStyle w:val="default"/>
          <w:rtl/>
        </w:rPr>
        <w:footnoteReference w:customMarkFollows="1" w:id="1"/>
        <w:t>*</w:t>
      </w:r>
    </w:p>
    <w:p w14:paraId="71E63579" w14:textId="77777777" w:rsidR="007B1C65" w:rsidRDefault="007B1C65">
      <w:pPr>
        <w:pStyle w:val="P00"/>
        <w:spacing w:before="72"/>
        <w:ind w:left="0" w:right="1134"/>
        <w:rPr>
          <w:rStyle w:val="default"/>
          <w:rFonts w:cs="FrankRuehl"/>
          <w:rtl/>
        </w:rPr>
      </w:pPr>
      <w:r>
        <w:rPr>
          <w:rFonts w:cs="FrankRuehl"/>
          <w:sz w:val="26"/>
          <w:rtl/>
        </w:rPr>
        <w:tab/>
      </w:r>
      <w:r>
        <w:rPr>
          <w:rStyle w:val="default"/>
          <w:rFonts w:cs="FrankRuehl"/>
          <w:rtl/>
        </w:rPr>
        <w:t>בת</w:t>
      </w:r>
      <w:r>
        <w:rPr>
          <w:rStyle w:val="default"/>
          <w:rFonts w:cs="FrankRuehl" w:hint="cs"/>
          <w:rtl/>
        </w:rPr>
        <w:t>וקף סמכותי לפי סעיפים 9(3) ו-21 לחוק התגמולים לנפגעי פעולות איבה, תש"ל-</w:t>
      </w:r>
      <w:r>
        <w:rPr>
          <w:rStyle w:val="default"/>
          <w:rFonts w:cs="FrankRuehl"/>
          <w:rtl/>
        </w:rPr>
        <w:t xml:space="preserve">1970, </w:t>
      </w:r>
      <w:r>
        <w:rPr>
          <w:rStyle w:val="default"/>
          <w:rFonts w:cs="FrankRuehl" w:hint="cs"/>
          <w:rtl/>
        </w:rPr>
        <w:t xml:space="preserve">ולאחר התייעצות בועדת העבודה והרווחה של הכנסת, אני מצווה </w:t>
      </w:r>
      <w:r>
        <w:rPr>
          <w:rStyle w:val="default"/>
          <w:rFonts w:cs="FrankRuehl"/>
          <w:rtl/>
        </w:rPr>
        <w:t>לא</w:t>
      </w:r>
      <w:r>
        <w:rPr>
          <w:rStyle w:val="default"/>
          <w:rFonts w:cs="FrankRuehl" w:hint="cs"/>
          <w:rtl/>
        </w:rPr>
        <w:t>מור:</w:t>
      </w:r>
    </w:p>
    <w:p w14:paraId="279E4BC9" w14:textId="77777777" w:rsidR="007B1C65" w:rsidRDefault="007B1C65">
      <w:pPr>
        <w:pStyle w:val="P00"/>
        <w:spacing w:before="72"/>
        <w:ind w:left="0" w:right="1134"/>
        <w:rPr>
          <w:rStyle w:val="default"/>
          <w:rFonts w:cs="FrankRuehl" w:hint="cs"/>
          <w:rtl/>
        </w:rPr>
      </w:pPr>
      <w:bookmarkStart w:id="0" w:name="Seif0"/>
      <w:bookmarkEnd w:id="0"/>
      <w:r>
        <w:rPr>
          <w:lang w:val="he-IL"/>
        </w:rPr>
        <w:pict w14:anchorId="08803FDA">
          <v:rect id="_x0000_s1026" style="position:absolute;left:0;text-align:left;margin-left:464.5pt;margin-top:8.05pt;width:75.05pt;height:8pt;z-index:251656704" o:allowincell="f" filled="f" stroked="f" strokecolor="lime" strokeweight=".25pt">
            <v:textbox inset="0,0,0,0">
              <w:txbxContent>
                <w:p w14:paraId="11E525FF" w14:textId="77777777" w:rsidR="007B1C65" w:rsidRDefault="007B1C65">
                  <w:pPr>
                    <w:spacing w:line="160" w:lineRule="exact"/>
                    <w:jc w:val="left"/>
                    <w:rPr>
                      <w:rFonts w:cs="Miriam"/>
                      <w:noProof/>
                      <w:sz w:val="18"/>
                      <w:szCs w:val="18"/>
                      <w:rtl/>
                    </w:rPr>
                  </w:pPr>
                  <w:r>
                    <w:rPr>
                      <w:rFonts w:cs="Miriam"/>
                      <w:sz w:val="18"/>
                      <w:szCs w:val="18"/>
                      <w:rtl/>
                    </w:rPr>
                    <w:t>הג</w:t>
                  </w:r>
                  <w:r>
                    <w:rPr>
                      <w:rFonts w:cs="Miriam" w:hint="cs"/>
                      <w:sz w:val="18"/>
                      <w:szCs w:val="18"/>
                      <w:rtl/>
                    </w:rPr>
                    <w:t>דרות</w:t>
                  </w:r>
                </w:p>
              </w:txbxContent>
            </v:textbox>
            <w10:anchorlock/>
          </v:rect>
        </w:pict>
      </w:r>
      <w:r>
        <w:rPr>
          <w:rStyle w:val="big-number"/>
          <w:rFonts w:cs="Miriam"/>
          <w:rtl/>
        </w:rPr>
        <w:t>1.</w:t>
      </w:r>
      <w:r>
        <w:rPr>
          <w:rStyle w:val="big-number"/>
          <w:rFonts w:cs="Miriam"/>
          <w:rtl/>
        </w:rPr>
        <w:tab/>
      </w:r>
      <w:r>
        <w:rPr>
          <w:rStyle w:val="default"/>
          <w:rFonts w:cs="FrankRuehl"/>
          <w:rtl/>
        </w:rPr>
        <w:t>בצ</w:t>
      </w:r>
      <w:r>
        <w:rPr>
          <w:rStyle w:val="default"/>
          <w:rFonts w:cs="FrankRuehl" w:hint="cs"/>
          <w:rtl/>
        </w:rPr>
        <w:t xml:space="preserve">ו זה </w:t>
      </w:r>
      <w:r>
        <w:rPr>
          <w:rStyle w:val="default"/>
          <w:rFonts w:cs="FrankRuehl"/>
          <w:rtl/>
        </w:rPr>
        <w:t>–</w:t>
      </w:r>
    </w:p>
    <w:p w14:paraId="7ECE15FD" w14:textId="77777777" w:rsidR="007B1C65" w:rsidRDefault="007B1C65">
      <w:pPr>
        <w:pStyle w:val="P00"/>
        <w:spacing w:before="72"/>
        <w:ind w:left="0" w:right="1134"/>
        <w:rPr>
          <w:rStyle w:val="default"/>
          <w:rFonts w:cs="FrankRuehl"/>
          <w:rtl/>
        </w:rPr>
      </w:pPr>
      <w:r>
        <w:rPr>
          <w:rFonts w:cs="FrankRuehl"/>
          <w:sz w:val="26"/>
          <w:rtl/>
        </w:rPr>
        <w:tab/>
      </w:r>
      <w:r>
        <w:rPr>
          <w:rStyle w:val="default"/>
          <w:rFonts w:cs="FrankRuehl"/>
          <w:rtl/>
        </w:rPr>
        <w:t>"ת</w:t>
      </w:r>
      <w:r>
        <w:rPr>
          <w:rStyle w:val="default"/>
          <w:rFonts w:cs="FrankRuehl" w:hint="cs"/>
          <w:rtl/>
        </w:rPr>
        <w:t>קנות העסקת עובד מעבר לגיל הפרישה" -</w:t>
      </w:r>
      <w:r>
        <w:rPr>
          <w:rStyle w:val="default"/>
          <w:rFonts w:cs="FrankRuehl"/>
          <w:rtl/>
        </w:rPr>
        <w:t xml:space="preserve"> </w:t>
      </w:r>
      <w:r>
        <w:rPr>
          <w:rStyle w:val="default"/>
          <w:rFonts w:cs="FrankRuehl" w:hint="cs"/>
          <w:rtl/>
        </w:rPr>
        <w:t>תקנות משפחות חיילים שנספו במערכה (העסקת</w:t>
      </w:r>
      <w:r>
        <w:rPr>
          <w:rStyle w:val="default"/>
          <w:rFonts w:cs="FrankRuehl"/>
          <w:rtl/>
        </w:rPr>
        <w:t xml:space="preserve"> </w:t>
      </w:r>
      <w:r>
        <w:rPr>
          <w:rStyle w:val="default"/>
          <w:rFonts w:cs="FrankRuehl" w:hint="cs"/>
          <w:rtl/>
        </w:rPr>
        <w:t>עובד מעבר לגיל הפרישה), תשל"ו-</w:t>
      </w:r>
      <w:r>
        <w:rPr>
          <w:rStyle w:val="default"/>
          <w:rFonts w:cs="FrankRuehl"/>
          <w:rtl/>
        </w:rPr>
        <w:t>1975;</w:t>
      </w:r>
    </w:p>
    <w:p w14:paraId="432E7F0D" w14:textId="77777777" w:rsidR="007B1C65" w:rsidRDefault="007B1C65">
      <w:pPr>
        <w:pStyle w:val="P00"/>
        <w:spacing w:before="72"/>
        <w:ind w:left="0" w:right="1134"/>
        <w:rPr>
          <w:rStyle w:val="default"/>
          <w:rFonts w:cs="FrankRuehl"/>
          <w:rtl/>
        </w:rPr>
      </w:pPr>
      <w:r>
        <w:rPr>
          <w:rFonts w:cs="FrankRuehl"/>
          <w:sz w:val="26"/>
          <w:rtl/>
        </w:rPr>
        <w:tab/>
      </w:r>
      <w:r>
        <w:rPr>
          <w:rStyle w:val="default"/>
          <w:rFonts w:cs="FrankRuehl"/>
          <w:rtl/>
        </w:rPr>
        <w:t>"ע</w:t>
      </w:r>
      <w:r>
        <w:rPr>
          <w:rStyle w:val="default"/>
          <w:rFonts w:cs="FrankRuehl" w:hint="cs"/>
          <w:rtl/>
        </w:rPr>
        <w:t>ובד" -</w:t>
      </w:r>
      <w:r>
        <w:rPr>
          <w:rStyle w:val="default"/>
          <w:rFonts w:cs="FrankRuehl"/>
          <w:rtl/>
        </w:rPr>
        <w:t xml:space="preserve"> </w:t>
      </w:r>
      <w:r>
        <w:rPr>
          <w:rStyle w:val="default"/>
          <w:rFonts w:cs="FrankRuehl" w:hint="cs"/>
          <w:rtl/>
        </w:rPr>
        <w:t>עובד כמשמעותו בסעיף 33א לחוק משפחות חיילים שנספו במערכה (תגמולים ושיקום), תש"י-</w:t>
      </w:r>
      <w:r>
        <w:rPr>
          <w:rStyle w:val="default"/>
          <w:rFonts w:cs="FrankRuehl"/>
          <w:rtl/>
        </w:rPr>
        <w:t>1950.</w:t>
      </w:r>
    </w:p>
    <w:p w14:paraId="69CCDE2D" w14:textId="77777777" w:rsidR="007B1C65" w:rsidRDefault="007B1C65">
      <w:pPr>
        <w:pStyle w:val="P00"/>
        <w:spacing w:before="72"/>
        <w:ind w:left="0" w:right="1134"/>
        <w:rPr>
          <w:rStyle w:val="default"/>
          <w:rFonts w:cs="FrankRuehl"/>
          <w:rtl/>
        </w:rPr>
      </w:pPr>
      <w:bookmarkStart w:id="1" w:name="Seif1"/>
      <w:bookmarkEnd w:id="1"/>
      <w:r>
        <w:rPr>
          <w:lang w:val="he-IL"/>
        </w:rPr>
        <w:pict w14:anchorId="3B1E4066">
          <v:rect id="_x0000_s1027" style="position:absolute;left:0;text-align:left;margin-left:464.5pt;margin-top:8.05pt;width:75.05pt;height:14.5pt;z-index:251657728" o:allowincell="f" filled="f" stroked="f" strokecolor="lime" strokeweight=".25pt">
            <v:textbox inset="0,0,0,0">
              <w:txbxContent>
                <w:p w14:paraId="5E0EAA26" w14:textId="77777777" w:rsidR="007B1C65" w:rsidRDefault="007B1C65">
                  <w:pPr>
                    <w:spacing w:line="160" w:lineRule="exact"/>
                    <w:jc w:val="left"/>
                    <w:rPr>
                      <w:rFonts w:cs="Miriam"/>
                      <w:noProof/>
                      <w:sz w:val="18"/>
                      <w:szCs w:val="18"/>
                      <w:rtl/>
                    </w:rPr>
                  </w:pPr>
                  <w:r>
                    <w:rPr>
                      <w:rFonts w:cs="Miriam"/>
                      <w:sz w:val="18"/>
                      <w:szCs w:val="18"/>
                      <w:rtl/>
                    </w:rPr>
                    <w:t>הח</w:t>
                  </w:r>
                  <w:r>
                    <w:rPr>
                      <w:rFonts w:cs="Miriam" w:hint="cs"/>
                      <w:sz w:val="18"/>
                      <w:szCs w:val="18"/>
                      <w:rtl/>
                    </w:rPr>
                    <w:t>לת תקנות</w:t>
                  </w:r>
                </w:p>
              </w:txbxContent>
            </v:textbox>
            <w10:anchorlock/>
          </v:rect>
        </w:pict>
      </w:r>
      <w:r>
        <w:rPr>
          <w:rStyle w:val="big-number"/>
          <w:rFonts w:cs="Miriam"/>
          <w:rtl/>
        </w:rPr>
        <w:t>2.</w:t>
      </w:r>
      <w:r>
        <w:rPr>
          <w:rStyle w:val="big-number"/>
          <w:rFonts w:cs="Miriam"/>
          <w:rtl/>
        </w:rPr>
        <w:tab/>
      </w:r>
      <w:r>
        <w:rPr>
          <w:rStyle w:val="default"/>
          <w:rFonts w:cs="FrankRuehl"/>
          <w:rtl/>
        </w:rPr>
        <w:t>תק</w:t>
      </w:r>
      <w:r>
        <w:rPr>
          <w:rStyle w:val="default"/>
          <w:rFonts w:cs="FrankRuehl" w:hint="cs"/>
          <w:rtl/>
        </w:rPr>
        <w:t xml:space="preserve">נות העסקת עובד מעבר </w:t>
      </w:r>
      <w:r>
        <w:rPr>
          <w:rStyle w:val="default"/>
          <w:rFonts w:cs="FrankRuehl"/>
          <w:rtl/>
        </w:rPr>
        <w:t>לג</w:t>
      </w:r>
      <w:r>
        <w:rPr>
          <w:rStyle w:val="default"/>
          <w:rFonts w:cs="FrankRuehl" w:hint="cs"/>
          <w:rtl/>
        </w:rPr>
        <w:t>יל הפרישה יחולו על בן משפחה של נפגע שהוא עובד, בשינויים המחוייבים.</w:t>
      </w:r>
    </w:p>
    <w:p w14:paraId="737456FC" w14:textId="77777777" w:rsidR="007B1C65" w:rsidRDefault="007B1C65">
      <w:pPr>
        <w:pStyle w:val="P00"/>
        <w:spacing w:before="72"/>
        <w:ind w:left="0" w:right="1134"/>
        <w:rPr>
          <w:rStyle w:val="default"/>
          <w:rFonts w:cs="FrankRuehl"/>
          <w:rtl/>
        </w:rPr>
      </w:pPr>
      <w:bookmarkStart w:id="2" w:name="Seif2"/>
      <w:bookmarkEnd w:id="2"/>
      <w:r>
        <w:rPr>
          <w:lang w:val="he-IL"/>
        </w:rPr>
        <w:pict w14:anchorId="1299575C">
          <v:rect id="_x0000_s1028" style="position:absolute;left:0;text-align:left;margin-left:464.5pt;margin-top:8.05pt;width:75.05pt;height:8pt;z-index:251658752" o:allowincell="f" filled="f" stroked="f" strokecolor="lime" strokeweight=".25pt">
            <v:textbox inset="0,0,0,0">
              <w:txbxContent>
                <w:p w14:paraId="34E2A09B" w14:textId="77777777" w:rsidR="007B1C65" w:rsidRDefault="007B1C65">
                  <w:pPr>
                    <w:spacing w:line="160" w:lineRule="exact"/>
                    <w:jc w:val="left"/>
                    <w:rPr>
                      <w:rFonts w:cs="Miriam"/>
                      <w:noProof/>
                      <w:sz w:val="18"/>
                      <w:szCs w:val="18"/>
                      <w:rtl/>
                    </w:rPr>
                  </w:pPr>
                  <w:r>
                    <w:rPr>
                      <w:rFonts w:cs="Miriam"/>
                      <w:sz w:val="18"/>
                      <w:szCs w:val="18"/>
                      <w:rtl/>
                    </w:rPr>
                    <w:t>תח</w:t>
                  </w:r>
                  <w:r>
                    <w:rPr>
                      <w:rFonts w:cs="Miriam" w:hint="cs"/>
                      <w:sz w:val="18"/>
                      <w:szCs w:val="18"/>
                      <w:rtl/>
                    </w:rPr>
                    <w:t>ולה</w:t>
                  </w:r>
                </w:p>
              </w:txbxContent>
            </v:textbox>
            <w10:anchorlock/>
          </v:rect>
        </w:pict>
      </w:r>
      <w:r>
        <w:rPr>
          <w:rStyle w:val="big-number"/>
          <w:rFonts w:cs="Miriam"/>
          <w:rtl/>
        </w:rPr>
        <w:t>3.</w:t>
      </w:r>
      <w:r>
        <w:rPr>
          <w:rStyle w:val="big-number"/>
          <w:rFonts w:cs="Miriam"/>
          <w:rtl/>
        </w:rPr>
        <w:tab/>
      </w:r>
      <w:r>
        <w:rPr>
          <w:rStyle w:val="default"/>
          <w:rFonts w:cs="FrankRuehl"/>
          <w:rtl/>
        </w:rPr>
        <w:t>תח</w:t>
      </w:r>
      <w:r>
        <w:rPr>
          <w:rStyle w:val="default"/>
          <w:rFonts w:cs="FrankRuehl" w:hint="cs"/>
          <w:rtl/>
        </w:rPr>
        <w:t>ולתו של צו זה על מי שהגיע לגיל פרישה ביום כ"א באדר ב' תשמ"ו (1 באפריל 1986) ואילך, אף אם עבודתו הופסקה לפני פרסומו, ובלבד שהודיע על רצונו לחזור למקום עבודתו תוך ששים ימים ממועד הפרס</w:t>
      </w:r>
      <w:r>
        <w:rPr>
          <w:rStyle w:val="default"/>
          <w:rFonts w:cs="FrankRuehl"/>
          <w:rtl/>
        </w:rPr>
        <w:t>ום</w:t>
      </w:r>
      <w:r>
        <w:rPr>
          <w:rStyle w:val="default"/>
          <w:rFonts w:cs="FrankRuehl" w:hint="cs"/>
          <w:rtl/>
        </w:rPr>
        <w:t>.</w:t>
      </w:r>
    </w:p>
    <w:p w14:paraId="5139FE4D" w14:textId="77777777" w:rsidR="007B1C65" w:rsidRDefault="007B1C65">
      <w:pPr>
        <w:pStyle w:val="P00"/>
        <w:spacing w:before="72"/>
        <w:ind w:left="0" w:right="1134"/>
        <w:rPr>
          <w:rStyle w:val="default"/>
          <w:rFonts w:cs="FrankRuehl"/>
          <w:rtl/>
        </w:rPr>
      </w:pPr>
    </w:p>
    <w:p w14:paraId="38DDBA72" w14:textId="77777777" w:rsidR="007B1C65" w:rsidRDefault="007B1C65">
      <w:pPr>
        <w:pStyle w:val="sig-0"/>
        <w:ind w:left="0" w:right="1134"/>
        <w:rPr>
          <w:rFonts w:cs="FrankRuehl"/>
          <w:sz w:val="26"/>
          <w:rtl/>
        </w:rPr>
      </w:pPr>
      <w:r>
        <w:rPr>
          <w:rFonts w:cs="FrankRuehl"/>
          <w:sz w:val="26"/>
          <w:rtl/>
        </w:rPr>
        <w:t>כ"</w:t>
      </w:r>
      <w:r>
        <w:rPr>
          <w:rFonts w:cs="FrankRuehl" w:hint="cs"/>
          <w:sz w:val="26"/>
          <w:rtl/>
        </w:rPr>
        <w:t>ח בתשרי תשמ"ז (31 באוקטובר 1986)</w:t>
      </w:r>
      <w:r>
        <w:rPr>
          <w:rFonts w:cs="FrankRuehl"/>
          <w:sz w:val="26"/>
          <w:rtl/>
        </w:rPr>
        <w:tab/>
        <w:t>מ</w:t>
      </w:r>
      <w:r>
        <w:rPr>
          <w:rFonts w:cs="FrankRuehl" w:hint="cs"/>
          <w:sz w:val="26"/>
          <w:rtl/>
        </w:rPr>
        <w:t>שה קצב</w:t>
      </w:r>
    </w:p>
    <w:p w14:paraId="2D468587" w14:textId="77777777" w:rsidR="007B1C65" w:rsidRDefault="007B1C65">
      <w:pPr>
        <w:pStyle w:val="sig-1"/>
        <w:widowControl/>
        <w:ind w:left="0" w:right="1134"/>
        <w:rPr>
          <w:rFonts w:cs="FrankRuehl" w:hint="cs"/>
          <w:sz w:val="22"/>
          <w:rtl/>
        </w:rPr>
      </w:pPr>
      <w:r>
        <w:rPr>
          <w:rFonts w:cs="FrankRuehl"/>
          <w:sz w:val="22"/>
          <w:rtl/>
        </w:rPr>
        <w:tab/>
      </w:r>
      <w:r>
        <w:rPr>
          <w:rFonts w:cs="FrankRuehl"/>
          <w:sz w:val="22"/>
          <w:rtl/>
        </w:rPr>
        <w:tab/>
      </w:r>
      <w:r>
        <w:rPr>
          <w:rFonts w:cs="FrankRuehl"/>
          <w:sz w:val="22"/>
          <w:rtl/>
        </w:rPr>
        <w:tab/>
        <w:t>ש</w:t>
      </w:r>
      <w:r>
        <w:rPr>
          <w:rFonts w:cs="FrankRuehl" w:hint="cs"/>
          <w:sz w:val="22"/>
          <w:rtl/>
        </w:rPr>
        <w:t>ר העבודה והרווחה</w:t>
      </w:r>
    </w:p>
    <w:p w14:paraId="057D44EB" w14:textId="77777777" w:rsidR="007B1C65" w:rsidRDefault="007B1C65">
      <w:pPr>
        <w:pStyle w:val="P00"/>
        <w:spacing w:before="72"/>
        <w:ind w:left="0" w:right="1134"/>
        <w:rPr>
          <w:rStyle w:val="default"/>
          <w:rFonts w:cs="FrankRuehl" w:hint="cs"/>
          <w:rtl/>
        </w:rPr>
      </w:pPr>
    </w:p>
    <w:p w14:paraId="31C999AE" w14:textId="77777777" w:rsidR="007B1C65" w:rsidRDefault="007B1C65">
      <w:pPr>
        <w:pStyle w:val="P00"/>
        <w:spacing w:before="72"/>
        <w:ind w:left="0" w:right="1134"/>
        <w:rPr>
          <w:rStyle w:val="default"/>
          <w:rFonts w:cs="FrankRuehl"/>
          <w:rtl/>
        </w:rPr>
      </w:pPr>
    </w:p>
    <w:p w14:paraId="1E19656E" w14:textId="77777777" w:rsidR="007B1C65" w:rsidRDefault="007B1C65">
      <w:pPr>
        <w:pStyle w:val="P00"/>
        <w:spacing w:before="72"/>
        <w:ind w:left="0" w:right="1134"/>
        <w:rPr>
          <w:rStyle w:val="default"/>
          <w:rFonts w:cs="FrankRuehl"/>
          <w:rtl/>
        </w:rPr>
      </w:pPr>
      <w:bookmarkStart w:id="3" w:name="LawPartEnd"/>
    </w:p>
    <w:bookmarkEnd w:id="3"/>
    <w:p w14:paraId="4F54EFCC" w14:textId="77777777" w:rsidR="007B1C65" w:rsidRDefault="007B1C65">
      <w:pPr>
        <w:pStyle w:val="P00"/>
        <w:spacing w:before="72"/>
        <w:ind w:left="0" w:right="1134"/>
        <w:rPr>
          <w:rStyle w:val="default"/>
          <w:rFonts w:cs="FrankRuehl"/>
          <w:rtl/>
        </w:rPr>
      </w:pPr>
    </w:p>
    <w:sectPr w:rsidR="007B1C65">
      <w:headerReference w:type="even" r:id="rId6"/>
      <w:headerReference w:type="default" r:id="rId7"/>
      <w:footerReference w:type="even" r:id="rId8"/>
      <w:footerReference w:type="default" r:id="rId9"/>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1E6F6C" w14:textId="77777777" w:rsidR="00D82312" w:rsidRDefault="00D82312">
      <w:r>
        <w:separator/>
      </w:r>
    </w:p>
  </w:endnote>
  <w:endnote w:type="continuationSeparator" w:id="0">
    <w:p w14:paraId="2E1BEF09" w14:textId="77777777" w:rsidR="00D82312" w:rsidRDefault="00D823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20C54A" w14:textId="77777777" w:rsidR="007B1C65" w:rsidRDefault="007B1C65">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563D9E45" w14:textId="77777777" w:rsidR="007B1C65" w:rsidRDefault="007B1C65">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14ED969C" w14:textId="77777777" w:rsidR="007B1C65" w:rsidRDefault="007B1C65">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C:\Yael\hakika\Revadim\P229M2_016.doc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C7A978" w14:textId="77777777" w:rsidR="007B1C65" w:rsidRDefault="007B1C65">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9905F7">
      <w:rPr>
        <w:rFonts w:hAnsi="FrankRuehl" w:cs="FrankRuehl"/>
        <w:noProof/>
        <w:sz w:val="24"/>
        <w:szCs w:val="24"/>
        <w:rtl/>
      </w:rPr>
      <w:t>2</w:t>
    </w:r>
    <w:r>
      <w:rPr>
        <w:rFonts w:hAnsi="FrankRuehl" w:cs="FrankRuehl"/>
        <w:sz w:val="24"/>
        <w:szCs w:val="24"/>
        <w:rtl/>
      </w:rPr>
      <w:fldChar w:fldCharType="end"/>
    </w:r>
  </w:p>
  <w:p w14:paraId="10BD2D66" w14:textId="77777777" w:rsidR="007B1C65" w:rsidRDefault="007B1C65">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44835C80" w14:textId="77777777" w:rsidR="007B1C65" w:rsidRDefault="007B1C65">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C:\Yael\hakika\Revadim\P229M2_016.doc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B910C8" w14:textId="77777777" w:rsidR="00D82312" w:rsidRDefault="00D82312">
      <w:pPr>
        <w:spacing w:before="60" w:line="240" w:lineRule="auto"/>
        <w:ind w:right="1134"/>
      </w:pPr>
      <w:r>
        <w:separator/>
      </w:r>
    </w:p>
  </w:footnote>
  <w:footnote w:type="continuationSeparator" w:id="0">
    <w:p w14:paraId="4B45D2D9" w14:textId="77777777" w:rsidR="00D82312" w:rsidRDefault="00D82312">
      <w:r>
        <w:continuationSeparator/>
      </w:r>
    </w:p>
  </w:footnote>
  <w:footnote w:id="1">
    <w:p w14:paraId="59614A43" w14:textId="77777777" w:rsidR="007B1C65" w:rsidRDefault="007B1C6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w:t>
      </w:r>
      <w:r>
        <w:rPr>
          <w:rFonts w:cs="FrankRuehl"/>
          <w:rtl/>
        </w:rPr>
        <w:t>פו</w:t>
      </w:r>
      <w:r>
        <w:rPr>
          <w:rFonts w:cs="FrankRuehl" w:hint="cs"/>
          <w:rtl/>
        </w:rPr>
        <w:t xml:space="preserve">רסם </w:t>
      </w:r>
      <w:hyperlink r:id="rId1" w:history="1">
        <w:r>
          <w:rPr>
            <w:rStyle w:val="Hyperlink"/>
            <w:rFonts w:cs="FrankRuehl" w:hint="cs"/>
            <w:rtl/>
          </w:rPr>
          <w:t>ק"ת תשמ"ז מס' 4979</w:t>
        </w:r>
      </w:hyperlink>
      <w:r>
        <w:rPr>
          <w:rFonts w:cs="FrankRuehl" w:hint="cs"/>
          <w:rtl/>
        </w:rPr>
        <w:t xml:space="preserve"> מיום 9.11.1986 עמ' 99.</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1F5506" w14:textId="77777777" w:rsidR="007B1C65" w:rsidRDefault="007B1C65">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צו התגמולים לנפגעי פעולות איבה (החלת תקנות לפי חוק משפחות חיילים), תשמ"ז–1986</w:t>
    </w:r>
  </w:p>
  <w:p w14:paraId="490D8299" w14:textId="77777777" w:rsidR="007B1C65" w:rsidRDefault="007B1C65">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26580E7F" w14:textId="77777777" w:rsidR="007B1C65" w:rsidRDefault="007B1C65">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8C24A8" w14:textId="77777777" w:rsidR="007B1C65" w:rsidRDefault="007B1C65">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צו התגמולים לנפגעי פעולות איבה (החלת תקנות לפי חוק משפחות חיילים), תשמ"ז</w:t>
    </w:r>
    <w:r>
      <w:rPr>
        <w:rFonts w:hAnsi="FrankRuehl" w:cs="FrankRuehl" w:hint="cs"/>
        <w:color w:val="000000"/>
        <w:sz w:val="28"/>
        <w:szCs w:val="28"/>
        <w:rtl/>
      </w:rPr>
      <w:t>-</w:t>
    </w:r>
    <w:r>
      <w:rPr>
        <w:rFonts w:hAnsi="FrankRuehl" w:cs="FrankRuehl"/>
        <w:color w:val="000000"/>
        <w:sz w:val="28"/>
        <w:szCs w:val="28"/>
        <w:rtl/>
      </w:rPr>
      <w:t>1986</w:t>
    </w:r>
  </w:p>
  <w:p w14:paraId="5B671925" w14:textId="77777777" w:rsidR="007B1C65" w:rsidRDefault="007B1C65">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1D3C91A9" w14:textId="77777777" w:rsidR="007B1C65" w:rsidRDefault="007B1C65">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D1E30"/>
    <w:rsid w:val="002D2B59"/>
    <w:rsid w:val="004D1E30"/>
    <w:rsid w:val="00696177"/>
    <w:rsid w:val="007B1C65"/>
    <w:rsid w:val="0090048F"/>
    <w:rsid w:val="009905F7"/>
    <w:rsid w:val="0099612A"/>
    <w:rsid w:val="00D82312"/>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0E776D10"/>
  <w15:chartTrackingRefBased/>
  <w15:docId w15:val="{AF5A5945-C104-4E55-A9E6-08EFF5927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default">
    <w:name w:val="default"/>
    <w:basedOn w:val="a0"/>
    <w:rPr>
      <w:rFonts w:ascii="Times New Roman" w:hAnsi="Times New Roman" w:cs="Times New Roman"/>
      <w:sz w:val="26"/>
      <w:szCs w:val="26"/>
    </w:rPr>
  </w:style>
  <w:style w:type="character" w:customStyle="1" w:styleId="big-number">
    <w:name w:val="big-number"/>
    <w:basedOn w:val="default"/>
    <w:rPr>
      <w:rFonts w:ascii="Times New Roman" w:hAnsi="Times New Roman" w:cs="Times New Roman"/>
      <w:sz w:val="32"/>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4979.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191</Words>
  <Characters>1092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פרק 2/229</vt:lpstr>
    </vt:vector>
  </TitlesOfParts>
  <Company/>
  <LinksUpToDate>false</LinksUpToDate>
  <CharactersWithSpaces>1281</CharactersWithSpaces>
  <SharedDoc>false</SharedDoc>
  <HLinks>
    <vt:vector size="24" baseType="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7995400</vt:i4>
      </vt:variant>
      <vt:variant>
        <vt:i4>0</vt:i4>
      </vt:variant>
      <vt:variant>
        <vt:i4>0</vt:i4>
      </vt:variant>
      <vt:variant>
        <vt:i4>5</vt:i4>
      </vt:variant>
      <vt:variant>
        <vt:lpwstr>http://www.nevo.co.il/Law_word/law06/TAK-4979.pdf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2/229</dc:title>
  <dc:subject/>
  <dc:creator>eli</dc:creator>
  <cp:keywords/>
  <dc:description/>
  <cp:lastModifiedBy>Shimon Doodkin</cp:lastModifiedBy>
  <cp:revision>2</cp:revision>
  <dcterms:created xsi:type="dcterms:W3CDTF">2023-06-05T19:19:00Z</dcterms:created>
  <dcterms:modified xsi:type="dcterms:W3CDTF">2023-06-05T19:19:00Z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P229M2</vt:lpwstr>
  </property>
  <property fmtid="{D5CDD505-2E9C-101B-9397-08002B2CF9AE}" pid="3" name="CHNAME">
    <vt:lpwstr>תגמולים לנפגעי פעולות איבה</vt:lpwstr>
  </property>
  <property fmtid="{D5CDD505-2E9C-101B-9397-08002B2CF9AE}" pid="4" name="LAWNAME">
    <vt:lpwstr>צו התגמולים לנפגעי פעולות איבה (החלת תקנות לפי חוק משפחות חיילים), תשמ"ז-1986</vt:lpwstr>
  </property>
  <property fmtid="{D5CDD505-2E9C-101B-9397-08002B2CF9AE}" pid="5" name="LAWNUMBER">
    <vt:lpwstr>0016</vt:lpwstr>
  </property>
  <property fmtid="{D5CDD505-2E9C-101B-9397-08002B2CF9AE}" pid="6" name="TYPE">
    <vt:lpwstr>01</vt:lpwstr>
  </property>
  <property fmtid="{D5CDD505-2E9C-101B-9397-08002B2CF9AE}" pid="7" name="NOSE11">
    <vt:lpwstr>בטחון</vt:lpwstr>
  </property>
  <property fmtid="{D5CDD505-2E9C-101B-9397-08002B2CF9AE}" pid="8" name="NOSE21">
    <vt:lpwstr>נפגעי פעולות איבה</vt:lpwstr>
  </property>
  <property fmtid="{D5CDD505-2E9C-101B-9397-08002B2CF9AE}" pid="9" name="NOSE31">
    <vt:lpwstr/>
  </property>
  <property fmtid="{D5CDD505-2E9C-101B-9397-08002B2CF9AE}" pid="10" name="NOSE41">
    <vt:lpwstr/>
  </property>
  <property fmtid="{D5CDD505-2E9C-101B-9397-08002B2CF9AE}" pid="11" name="NOSE12">
    <vt:lpwstr>ביטוח</vt:lpwstr>
  </property>
  <property fmtid="{D5CDD505-2E9C-101B-9397-08002B2CF9AE}" pid="12" name="NOSE22">
    <vt:lpwstr>ביטוח לאומי</vt:lpwstr>
  </property>
  <property fmtid="{D5CDD505-2E9C-101B-9397-08002B2CF9AE}" pid="13" name="NOSE32">
    <vt:lpwstr>תגמולים</vt:lpwstr>
  </property>
  <property fmtid="{D5CDD505-2E9C-101B-9397-08002B2CF9AE}" pid="14" name="NOSE42">
    <vt:lpwstr>נפגעי פעולות איבה</vt:lpwstr>
  </property>
  <property fmtid="{D5CDD505-2E9C-101B-9397-08002B2CF9AE}" pid="15" name="NOSE13">
    <vt:lpwstr>בטחון</vt:lpwstr>
  </property>
  <property fmtid="{D5CDD505-2E9C-101B-9397-08002B2CF9AE}" pid="16" name="NOSE23">
    <vt:lpwstr>צה"ל</vt:lpwstr>
  </property>
  <property fmtid="{D5CDD505-2E9C-101B-9397-08002B2CF9AE}" pid="17" name="NOSE33">
    <vt:lpwstr>חיילים</vt:lpwstr>
  </property>
  <property fmtid="{D5CDD505-2E9C-101B-9397-08002B2CF9AE}" pid="18" name="NOSE43">
    <vt:lpwstr>משפחות חיילים שנספו</vt:lpwstr>
  </property>
  <property fmtid="{D5CDD505-2E9C-101B-9397-08002B2CF9AE}" pid="19" name="NOSE14">
    <vt:lpwstr>עבודה</vt:lpwstr>
  </property>
  <property fmtid="{D5CDD505-2E9C-101B-9397-08002B2CF9AE}" pid="20" name="NOSE24">
    <vt:lpwstr>העסקת קבוצות מסוימות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y fmtid="{D5CDD505-2E9C-101B-9397-08002B2CF9AE}" pid="47" name="MEKOR_NAME1">
    <vt:lpwstr>חוק התגמולים לנפגעי פעולות איבה</vt:lpwstr>
  </property>
  <property fmtid="{D5CDD505-2E9C-101B-9397-08002B2CF9AE}" pid="48" name="MEKOR_SAIF1">
    <vt:lpwstr>9X3X;21X</vt:lpwstr>
  </property>
</Properties>
</file>