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321F" w14:textId="77777777" w:rsidR="00D25D5C" w:rsidRDefault="00D95F22" w:rsidP="000B4165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FE7572">
        <w:rPr>
          <w:rFonts w:cs="FrankRuehl" w:hint="cs"/>
          <w:sz w:val="32"/>
          <w:rtl/>
        </w:rPr>
        <w:t>10</w:t>
      </w:r>
      <w:r w:rsidR="004A5BA6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FE7572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</w:t>
      </w:r>
      <w:r w:rsidR="006A2AA5">
        <w:rPr>
          <w:rFonts w:cs="FrankRuehl" w:hint="cs"/>
          <w:sz w:val="32"/>
          <w:rtl/>
        </w:rPr>
        <w:t>ח</w:t>
      </w:r>
      <w:r w:rsidR="00EB579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</w:p>
    <w:p w14:paraId="220B9685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319A3C31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0503EF68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030426D3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51522F6A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58F1C947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4EC39C7B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415705E8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70B74" w:rsidRPr="00370B74" w14:paraId="0C2F5F5B" w14:textId="77777777" w:rsidTr="00370B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8A6C59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6B6EB8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5B836142" w14:textId="77777777" w:rsidR="00370B74" w:rsidRPr="00370B74" w:rsidRDefault="00370B74" w:rsidP="00370B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370B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3707B4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70B74" w:rsidRPr="00370B74" w14:paraId="33817139" w14:textId="77777777" w:rsidTr="00370B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69ED2B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ABC4C8F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34D1DDCC" w14:textId="77777777" w:rsidR="00370B74" w:rsidRPr="00370B74" w:rsidRDefault="00370B74" w:rsidP="00370B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370B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369866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70B74" w:rsidRPr="00370B74" w14:paraId="4530E05E" w14:textId="77777777" w:rsidTr="00370B7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16E67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E551EF6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291B063" w14:textId="77777777" w:rsidR="00370B74" w:rsidRPr="00370B74" w:rsidRDefault="00370B74" w:rsidP="00370B7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70B7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28AAE5" w14:textId="77777777" w:rsidR="00370B74" w:rsidRPr="00370B74" w:rsidRDefault="00370B74" w:rsidP="00370B7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F1C536E" w14:textId="77777777" w:rsidR="00D25D5C" w:rsidRDefault="00D25D5C" w:rsidP="000B4165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</w:t>
      </w:r>
      <w:r w:rsidR="00C11788">
        <w:rPr>
          <w:rFonts w:cs="FrankRuehl" w:hint="cs"/>
          <w:sz w:val="32"/>
          <w:rtl/>
        </w:rPr>
        <w:t xml:space="preserve"> מס' </w:t>
      </w:r>
      <w:r w:rsidR="00FE7572">
        <w:rPr>
          <w:rFonts w:cs="FrankRuehl" w:hint="cs"/>
          <w:sz w:val="32"/>
          <w:rtl/>
        </w:rPr>
        <w:t>10</w:t>
      </w:r>
      <w:r w:rsidR="00D867A1">
        <w:rPr>
          <w:rFonts w:cs="FrankRuehl" w:hint="cs"/>
          <w:sz w:val="32"/>
          <w:rtl/>
        </w:rPr>
        <w:t xml:space="preserve">), </w:t>
      </w:r>
      <w:r w:rsidR="00FE7572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</w:t>
      </w:r>
      <w:r w:rsidR="006A2AA5">
        <w:rPr>
          <w:rFonts w:cs="FrankRuehl" w:hint="cs"/>
          <w:sz w:val="32"/>
          <w:rtl/>
        </w:rPr>
        <w:t>ח</w:t>
      </w:r>
      <w:r w:rsidR="00D867A1">
        <w:rPr>
          <w:rFonts w:cs="FrankRuehl" w:hint="cs"/>
          <w:sz w:val="32"/>
          <w:rtl/>
        </w:rPr>
        <w:t>-201</w:t>
      </w:r>
      <w:r w:rsidR="005E4178">
        <w:rPr>
          <w:rFonts w:cs="FrankRuehl" w:hint="cs"/>
          <w:sz w:val="32"/>
          <w:rtl/>
        </w:rPr>
        <w:t>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CB9A8A1" w14:textId="77777777" w:rsidR="00BD1625" w:rsidRDefault="00D43D50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851420">
        <w:rPr>
          <w:rStyle w:val="default"/>
          <w:rFonts w:cs="FrankRuehl" w:hint="cs"/>
          <w:rtl/>
        </w:rPr>
        <w:t>סמכותנו לפי סעיף 19(ב)(2) ב</w:t>
      </w:r>
      <w:r w:rsidR="00D95F22">
        <w:rPr>
          <w:rStyle w:val="default"/>
          <w:rFonts w:cs="FrankRuehl" w:hint="cs"/>
          <w:rtl/>
        </w:rPr>
        <w:t>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 xml:space="preserve">ה, התשכ"ה-1965, ובהסכמת </w:t>
      </w:r>
      <w:r w:rsidR="000F6C8B">
        <w:rPr>
          <w:rStyle w:val="default"/>
          <w:rFonts w:cs="FrankRuehl" w:hint="cs"/>
          <w:rtl/>
        </w:rPr>
        <w:t xml:space="preserve">עיריית </w:t>
      </w:r>
      <w:r w:rsidR="00FE7572">
        <w:rPr>
          <w:rStyle w:val="default"/>
          <w:rFonts w:cs="FrankRuehl" w:hint="cs"/>
          <w:rtl/>
        </w:rPr>
        <w:t>בת ים</w:t>
      </w:r>
      <w:r w:rsidR="00D95F22">
        <w:rPr>
          <w:rStyle w:val="default"/>
          <w:rFonts w:cs="FrankRuehl" w:hint="cs"/>
          <w:rtl/>
        </w:rPr>
        <w:t>, אנו מצווים לאמור</w:t>
      </w:r>
      <w:r>
        <w:rPr>
          <w:rStyle w:val="default"/>
          <w:rFonts w:cs="FrankRuehl" w:hint="cs"/>
          <w:rtl/>
        </w:rPr>
        <w:t>:</w:t>
      </w:r>
    </w:p>
    <w:p w14:paraId="79872A7C" w14:textId="77777777" w:rsidR="00642120" w:rsidRDefault="00642120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>
        <w:rPr>
          <w:lang w:val="he-IL"/>
        </w:rPr>
        <w:pict w14:anchorId="63636B96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0FFAD62B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6A2AA5">
        <w:rPr>
          <w:rStyle w:val="default"/>
          <w:rFonts w:cs="FrankRuehl" w:hint="cs"/>
          <w:sz w:val="20"/>
          <w:rtl/>
        </w:rPr>
        <w:t xml:space="preserve">לפי </w:t>
      </w:r>
      <w:r w:rsidR="003A1CE0">
        <w:rPr>
          <w:rStyle w:val="default"/>
          <w:rFonts w:cs="FrankRuehl" w:hint="cs"/>
          <w:sz w:val="20"/>
          <w:rtl/>
        </w:rPr>
        <w:t xml:space="preserve">תכנית </w:t>
      </w:r>
      <w:r w:rsidR="00FE7572">
        <w:rPr>
          <w:rStyle w:val="default"/>
          <w:rFonts w:cs="FrankRuehl" w:hint="cs"/>
          <w:sz w:val="20"/>
          <w:rtl/>
        </w:rPr>
        <w:t>בי/515</w:t>
      </w:r>
      <w:r w:rsidR="003A1CE0">
        <w:rPr>
          <w:rStyle w:val="default"/>
          <w:rFonts w:cs="FrankRuehl" w:hint="cs"/>
          <w:sz w:val="20"/>
          <w:rtl/>
        </w:rPr>
        <w:t>,</w:t>
      </w:r>
      <w:r w:rsidR="006A2AA5">
        <w:rPr>
          <w:rStyle w:val="default"/>
          <w:rFonts w:cs="FrankRuehl" w:hint="cs"/>
          <w:sz w:val="20"/>
          <w:rtl/>
        </w:rPr>
        <w:t xml:space="preserve"> </w:t>
      </w:r>
      <w:r w:rsidR="000F6C8B">
        <w:rPr>
          <w:rStyle w:val="default"/>
          <w:rFonts w:cs="FrankRuehl" w:hint="cs"/>
          <w:sz w:val="20"/>
          <w:rtl/>
        </w:rPr>
        <w:t>במתחם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851420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5175DCF1" w14:textId="77777777" w:rsidR="00F23055" w:rsidRDefault="00F23055" w:rsidP="00851420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Seif2"/>
      <w:bookmarkEnd w:id="1"/>
      <w:r>
        <w:rPr>
          <w:lang w:val="he-IL"/>
        </w:rPr>
        <w:pict w14:anchorId="78235772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2F5EBD27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 w:rsidRPr="000B4165">
        <w:rPr>
          <w:rStyle w:val="default"/>
          <w:rFonts w:cs="FrankRuehl"/>
          <w:sz w:val="20"/>
          <w:rtl/>
        </w:rPr>
        <w:t>.</w:t>
      </w:r>
      <w:r w:rsidRPr="000B4165">
        <w:rPr>
          <w:rStyle w:val="default"/>
          <w:rFonts w:cs="FrankRuehl"/>
          <w:sz w:val="20"/>
          <w:rtl/>
        </w:rPr>
        <w:tab/>
      </w:r>
      <w:r w:rsidR="00054D99">
        <w:rPr>
          <w:rStyle w:val="default"/>
          <w:rFonts w:cs="FrankRuehl" w:hint="cs"/>
          <w:sz w:val="20"/>
          <w:rtl/>
        </w:rPr>
        <w:t xml:space="preserve">תוקפו של </w:t>
      </w:r>
      <w:r w:rsidR="0046049E">
        <w:rPr>
          <w:rStyle w:val="default"/>
          <w:rFonts w:cs="FrankRuehl" w:hint="cs"/>
          <w:sz w:val="20"/>
          <w:rtl/>
        </w:rPr>
        <w:t xml:space="preserve">צו זה </w:t>
      </w:r>
      <w:r w:rsidR="00054D99">
        <w:rPr>
          <w:rStyle w:val="default"/>
          <w:rFonts w:cs="FrankRuehl" w:hint="cs"/>
          <w:sz w:val="20"/>
          <w:rtl/>
        </w:rPr>
        <w:t xml:space="preserve">עד יום </w:t>
      </w:r>
      <w:r w:rsidR="00FE7572">
        <w:rPr>
          <w:rStyle w:val="default"/>
          <w:rFonts w:cs="FrankRuehl" w:hint="cs"/>
          <w:sz w:val="20"/>
          <w:rtl/>
        </w:rPr>
        <w:t>י"ב באלול</w:t>
      </w:r>
      <w:r w:rsidR="00054D99">
        <w:rPr>
          <w:rStyle w:val="default"/>
          <w:rFonts w:cs="FrankRuehl" w:hint="cs"/>
          <w:sz w:val="20"/>
          <w:rtl/>
        </w:rPr>
        <w:t xml:space="preserve"> התש</w:t>
      </w:r>
      <w:r w:rsidR="003A1CE0">
        <w:rPr>
          <w:rStyle w:val="default"/>
          <w:rFonts w:cs="FrankRuehl" w:hint="cs"/>
          <w:sz w:val="20"/>
          <w:rtl/>
        </w:rPr>
        <w:t>פ"</w:t>
      </w:r>
      <w:r w:rsidR="00FE7572">
        <w:rPr>
          <w:rStyle w:val="default"/>
          <w:rFonts w:cs="FrankRuehl" w:hint="cs"/>
          <w:sz w:val="20"/>
          <w:rtl/>
        </w:rPr>
        <w:t>ג</w:t>
      </w:r>
      <w:r w:rsidR="00054D99">
        <w:rPr>
          <w:rStyle w:val="default"/>
          <w:rFonts w:cs="FrankRuehl" w:hint="cs"/>
          <w:sz w:val="20"/>
          <w:rtl/>
        </w:rPr>
        <w:t xml:space="preserve"> (</w:t>
      </w:r>
      <w:r w:rsidR="00FE7572">
        <w:rPr>
          <w:rStyle w:val="default"/>
          <w:rFonts w:cs="FrankRuehl" w:hint="cs"/>
          <w:sz w:val="20"/>
          <w:rtl/>
        </w:rPr>
        <w:t>8 בספטמבר 2022</w:t>
      </w:r>
      <w:r w:rsidR="00054D99">
        <w:rPr>
          <w:rStyle w:val="default"/>
          <w:rFonts w:cs="FrankRuehl" w:hint="cs"/>
          <w:sz w:val="20"/>
          <w:rtl/>
        </w:rPr>
        <w:t>)</w:t>
      </w:r>
      <w:r w:rsidR="007408E7">
        <w:rPr>
          <w:rStyle w:val="default"/>
          <w:rFonts w:cs="FrankRuehl" w:hint="cs"/>
          <w:sz w:val="20"/>
          <w:rtl/>
        </w:rPr>
        <w:t>,</w:t>
      </w:r>
      <w:r w:rsidR="00C11788">
        <w:rPr>
          <w:rStyle w:val="default"/>
          <w:rFonts w:cs="FrankRuehl" w:hint="cs"/>
          <w:sz w:val="20"/>
          <w:rtl/>
        </w:rPr>
        <w:t xml:space="preserve"> </w:t>
      </w:r>
      <w:r w:rsidR="0062155B">
        <w:rPr>
          <w:rStyle w:val="default"/>
          <w:rFonts w:cs="FrankRuehl" w:hint="cs"/>
          <w:sz w:val="20"/>
          <w:rtl/>
        </w:rPr>
        <w:t>זולת אם בוטלה ההכרזה</w:t>
      </w:r>
      <w:r w:rsidR="00054D99">
        <w:rPr>
          <w:rStyle w:val="a6"/>
          <w:rFonts w:cs="FrankRuehl"/>
          <w:rtl/>
        </w:rPr>
        <w:footnoteReference w:id="2"/>
      </w:r>
      <w:r w:rsidR="003A1CE0">
        <w:rPr>
          <w:rStyle w:val="default"/>
          <w:rFonts w:cs="FrankRuehl" w:hint="cs"/>
          <w:sz w:val="20"/>
          <w:rtl/>
        </w:rPr>
        <w:t>,</w:t>
      </w:r>
      <w:r w:rsidR="0062155B">
        <w:rPr>
          <w:rStyle w:val="default"/>
          <w:rFonts w:cs="FrankRuehl" w:hint="cs"/>
          <w:sz w:val="20"/>
          <w:rtl/>
        </w:rPr>
        <w:t xml:space="preserve"> </w:t>
      </w:r>
      <w:r w:rsidR="00054D99">
        <w:rPr>
          <w:rStyle w:val="default"/>
          <w:rFonts w:cs="FrankRuehl" w:hint="cs"/>
          <w:sz w:val="20"/>
          <w:rtl/>
        </w:rPr>
        <w:t>על המתחם לפינוי לשם בינוי</w:t>
      </w:r>
      <w:r w:rsidR="0046049E">
        <w:rPr>
          <w:rStyle w:val="default"/>
          <w:rFonts w:cs="FrankRuehl" w:hint="cs"/>
          <w:sz w:val="20"/>
          <w:rtl/>
        </w:rPr>
        <w:t xml:space="preserve"> </w:t>
      </w:r>
      <w:r w:rsidR="00D95F22">
        <w:rPr>
          <w:rStyle w:val="default"/>
          <w:rFonts w:cs="FrankRuehl" w:hint="cs"/>
          <w:sz w:val="20"/>
          <w:rtl/>
        </w:rPr>
        <w:t>קודם לכן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31A9FA2B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EF1DAF" w14:textId="77777777" w:rsidR="00D95F22" w:rsidRPr="000F6C8B" w:rsidRDefault="00D95F22" w:rsidP="000F6C8B">
      <w:pPr>
        <w:pStyle w:val="medium2-header"/>
        <w:keepLines w:val="0"/>
        <w:adjustRightInd w:val="0"/>
        <w:spacing w:before="72"/>
        <w:ind w:left="0" w:right="1134"/>
        <w:textAlignment w:val="baseline"/>
        <w:rPr>
          <w:rFonts w:cs="FrankRuehl" w:hint="cs"/>
          <w:noProof/>
          <w:sz w:val="20"/>
          <w:rtl/>
        </w:rPr>
      </w:pPr>
      <w:bookmarkStart w:id="2" w:name="med0"/>
      <w:bookmarkEnd w:id="2"/>
      <w:r w:rsidRPr="000F6C8B">
        <w:rPr>
          <w:rFonts w:cs="FrankRuehl" w:hint="cs"/>
          <w:noProof/>
          <w:sz w:val="20"/>
          <w:rtl/>
        </w:rPr>
        <w:t>תוספת</w:t>
      </w:r>
    </w:p>
    <w:p w14:paraId="5052A926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E300A33" w14:textId="77777777" w:rsidR="00D95F22" w:rsidRDefault="00FE7572" w:rsidP="008514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מתחם הגיבורים בבת ים, גוש 7153 חלקות 222, 252 עד 256, 262, 263, 372 עד 376, חלק מחלקה 238</w:t>
      </w:r>
      <w:r w:rsidR="00D95F22">
        <w:rPr>
          <w:rStyle w:val="default"/>
          <w:rFonts w:cs="FrankRuehl" w:hint="cs"/>
          <w:rtl/>
        </w:rPr>
        <w:t>.</w:t>
      </w:r>
    </w:p>
    <w:p w14:paraId="6403EF83" w14:textId="77777777" w:rsidR="00054D99" w:rsidRDefault="00054D99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085C25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C3ABF8" w14:textId="77777777" w:rsidR="00CB494E" w:rsidRDefault="003A1CE0" w:rsidP="00851420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באב</w:t>
      </w:r>
      <w:r w:rsidR="00EB5791">
        <w:rPr>
          <w:rFonts w:cs="FrankRuehl" w:hint="cs"/>
          <w:sz w:val="26"/>
          <w:rtl/>
        </w:rPr>
        <w:t xml:space="preserve"> התשע"</w:t>
      </w:r>
      <w:r w:rsidR="005E4178">
        <w:rPr>
          <w:rFonts w:cs="FrankRuehl" w:hint="cs"/>
          <w:sz w:val="26"/>
          <w:rtl/>
        </w:rPr>
        <w:t>ח</w:t>
      </w:r>
      <w:r w:rsidR="00EB5791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16</w:t>
      </w:r>
      <w:r w:rsidR="00054D99">
        <w:rPr>
          <w:rFonts w:cs="FrankRuehl" w:hint="cs"/>
          <w:sz w:val="26"/>
          <w:rtl/>
        </w:rPr>
        <w:t xml:space="preserve"> ביולי</w:t>
      </w:r>
      <w:r w:rsidR="006A2AA5">
        <w:rPr>
          <w:rFonts w:cs="FrankRuehl" w:hint="cs"/>
          <w:sz w:val="26"/>
          <w:rtl/>
        </w:rPr>
        <w:t xml:space="preserve"> 201</w:t>
      </w:r>
      <w:r w:rsidR="00CF29AD">
        <w:rPr>
          <w:rFonts w:cs="FrankRuehl" w:hint="cs"/>
          <w:sz w:val="26"/>
          <w:rtl/>
        </w:rPr>
        <w:t>8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אריה מכלוף דרעי</w:t>
      </w:r>
      <w:r w:rsidR="00D95F22">
        <w:rPr>
          <w:rFonts w:cs="FrankRuehl" w:hint="cs"/>
          <w:sz w:val="26"/>
          <w:rtl/>
        </w:rPr>
        <w:tab/>
      </w:r>
      <w:r w:rsidR="00851420">
        <w:rPr>
          <w:rFonts w:cs="FrankRuehl" w:hint="cs"/>
          <w:sz w:val="26"/>
          <w:rtl/>
        </w:rPr>
        <w:t>יואב גלנט</w:t>
      </w:r>
    </w:p>
    <w:p w14:paraId="32A9093C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19D408DC" w14:textId="77777777" w:rsidR="003E04CE" w:rsidRDefault="003E04C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648D07" w14:textId="77777777" w:rsidR="00AA30A4" w:rsidRDefault="00AA30A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832CB9" w14:textId="77777777" w:rsidR="00370B74" w:rsidRDefault="00370B7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576D54" w14:textId="77777777" w:rsidR="00370B74" w:rsidRDefault="00370B7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0A0B3A" w14:textId="77777777" w:rsidR="00370B74" w:rsidRDefault="00370B74" w:rsidP="00370B7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5D9680" w14:textId="77777777" w:rsidR="00AA30A4" w:rsidRPr="00370B74" w:rsidRDefault="00AA30A4" w:rsidP="00370B74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A30A4" w:rsidRPr="00370B74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B497E" w14:textId="77777777" w:rsidR="00B127E1" w:rsidRDefault="00B127E1">
      <w:r>
        <w:separator/>
      </w:r>
    </w:p>
  </w:endnote>
  <w:endnote w:type="continuationSeparator" w:id="0">
    <w:p w14:paraId="334F0AAF" w14:textId="77777777" w:rsidR="00B127E1" w:rsidRDefault="00B1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C6DE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B5F5DD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A5D023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D9045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0B7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A14869A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07C8C1F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9736" w14:textId="77777777" w:rsidR="00B127E1" w:rsidRDefault="00B127E1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FB5A612" w14:textId="77777777" w:rsidR="00B127E1" w:rsidRDefault="00B127E1">
      <w:pPr>
        <w:spacing w:before="60"/>
        <w:ind w:right="1134"/>
      </w:pPr>
      <w:r>
        <w:separator/>
      </w:r>
    </w:p>
  </w:footnote>
  <w:footnote w:id="1">
    <w:p w14:paraId="03B1B419" w14:textId="77777777" w:rsidR="009077B3" w:rsidRDefault="00415244" w:rsidP="009077B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9077B3">
          <w:rPr>
            <w:rStyle w:val="Hyperlink"/>
            <w:rFonts w:cs="FrankRuehl" w:hint="cs"/>
            <w:rtl/>
          </w:rPr>
          <w:t>ק"ת תשע</w:t>
        </w:r>
        <w:r w:rsidR="00521967" w:rsidRPr="009077B3">
          <w:rPr>
            <w:rStyle w:val="Hyperlink"/>
            <w:rFonts w:cs="FrankRuehl" w:hint="cs"/>
            <w:rtl/>
          </w:rPr>
          <w:t>"</w:t>
        </w:r>
        <w:r w:rsidR="006A2AA5" w:rsidRPr="009077B3">
          <w:rPr>
            <w:rStyle w:val="Hyperlink"/>
            <w:rFonts w:cs="FrankRuehl" w:hint="cs"/>
            <w:rtl/>
          </w:rPr>
          <w:t>ח</w:t>
        </w:r>
        <w:r w:rsidR="00521967" w:rsidRPr="009077B3">
          <w:rPr>
            <w:rStyle w:val="Hyperlink"/>
            <w:rFonts w:cs="FrankRuehl" w:hint="cs"/>
            <w:rtl/>
          </w:rPr>
          <w:t xml:space="preserve"> </w:t>
        </w:r>
        <w:r w:rsidRPr="009077B3">
          <w:rPr>
            <w:rStyle w:val="Hyperlink"/>
            <w:rFonts w:cs="FrankRuehl" w:hint="cs"/>
            <w:rtl/>
          </w:rPr>
          <w:t xml:space="preserve">מס' </w:t>
        </w:r>
        <w:r w:rsidR="003A1CE0" w:rsidRPr="009077B3">
          <w:rPr>
            <w:rStyle w:val="Hyperlink"/>
            <w:rFonts w:cs="FrankRuehl" w:hint="cs"/>
            <w:rtl/>
          </w:rPr>
          <w:t>8051</w:t>
        </w:r>
      </w:hyperlink>
      <w:r>
        <w:rPr>
          <w:rFonts w:cs="FrankRuehl" w:hint="cs"/>
          <w:rtl/>
        </w:rPr>
        <w:t xml:space="preserve"> מיום </w:t>
      </w:r>
      <w:r w:rsidR="003A1CE0">
        <w:rPr>
          <w:rFonts w:cs="FrankRuehl" w:hint="cs"/>
          <w:rtl/>
        </w:rPr>
        <w:t>30</w:t>
      </w:r>
      <w:r w:rsidR="000F6C8B">
        <w:rPr>
          <w:rFonts w:cs="FrankRuehl" w:hint="cs"/>
          <w:rtl/>
        </w:rPr>
        <w:t>.7</w:t>
      </w:r>
      <w:r w:rsidR="005E4178">
        <w:rPr>
          <w:rFonts w:cs="FrankRuehl" w:hint="cs"/>
          <w:rtl/>
        </w:rPr>
        <w:t>.2018</w:t>
      </w:r>
      <w:r>
        <w:rPr>
          <w:rFonts w:cs="FrankRuehl" w:hint="cs"/>
          <w:rtl/>
        </w:rPr>
        <w:t xml:space="preserve"> עמ' </w:t>
      </w:r>
      <w:r w:rsidR="00E12A8A">
        <w:rPr>
          <w:rFonts w:cs="FrankRuehl" w:hint="cs"/>
          <w:rtl/>
        </w:rPr>
        <w:t>25</w:t>
      </w:r>
      <w:r w:rsidR="003A1CE0">
        <w:rPr>
          <w:rFonts w:cs="FrankRuehl" w:hint="cs"/>
          <w:rtl/>
        </w:rPr>
        <w:t>87</w:t>
      </w:r>
      <w:r>
        <w:rPr>
          <w:rFonts w:cs="FrankRuehl" w:hint="cs"/>
          <w:rtl/>
        </w:rPr>
        <w:t>.</w:t>
      </w:r>
    </w:p>
  </w:footnote>
  <w:footnote w:id="2">
    <w:p w14:paraId="5356D270" w14:textId="77777777" w:rsidR="00054D99" w:rsidRDefault="00054D99" w:rsidP="00054D99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צו </w:t>
      </w:r>
      <w:r w:rsidR="00D06245">
        <w:rPr>
          <w:rFonts w:cs="FrankRuehl" w:hint="cs"/>
          <w:sz w:val="22"/>
          <w:szCs w:val="22"/>
          <w:rtl/>
        </w:rPr>
        <w:t>הרשות הממשלתית להתחדשות עירונית (</w:t>
      </w:r>
      <w:r w:rsidR="005C2F5E">
        <w:rPr>
          <w:rFonts w:cs="FrankRuehl" w:hint="cs"/>
          <w:sz w:val="22"/>
          <w:szCs w:val="22"/>
          <w:rtl/>
        </w:rPr>
        <w:t>הארכת</w:t>
      </w:r>
      <w:r w:rsidR="00D06245">
        <w:rPr>
          <w:rFonts w:cs="FrankRuehl" w:hint="cs"/>
          <w:sz w:val="22"/>
          <w:szCs w:val="22"/>
          <w:rtl/>
        </w:rPr>
        <w:t xml:space="preserve"> תוקף הכרז</w:t>
      </w:r>
      <w:r w:rsidR="005C2F5E">
        <w:rPr>
          <w:rFonts w:cs="FrankRuehl" w:hint="cs"/>
          <w:sz w:val="22"/>
          <w:szCs w:val="22"/>
          <w:rtl/>
        </w:rPr>
        <w:t>ות</w:t>
      </w:r>
      <w:r w:rsidR="00D06245">
        <w:rPr>
          <w:rFonts w:cs="FrankRuehl" w:hint="cs"/>
          <w:sz w:val="22"/>
          <w:szCs w:val="22"/>
          <w:rtl/>
        </w:rPr>
        <w:t xml:space="preserve"> על מתח</w:t>
      </w:r>
      <w:r w:rsidR="005C2F5E">
        <w:rPr>
          <w:rFonts w:cs="FrankRuehl" w:hint="cs"/>
          <w:sz w:val="22"/>
          <w:szCs w:val="22"/>
          <w:rtl/>
        </w:rPr>
        <w:t>מי</w:t>
      </w:r>
      <w:r w:rsidR="00D06245">
        <w:rPr>
          <w:rFonts w:cs="FrankRuehl" w:hint="cs"/>
          <w:sz w:val="22"/>
          <w:szCs w:val="22"/>
          <w:rtl/>
        </w:rPr>
        <w:t xml:space="preserve">ם לפינוי לשם בינוי לתקופה </w:t>
      </w:r>
      <w:r w:rsidR="005C2F5E">
        <w:rPr>
          <w:rFonts w:cs="FrankRuehl" w:hint="cs"/>
          <w:sz w:val="22"/>
          <w:szCs w:val="22"/>
          <w:rtl/>
        </w:rPr>
        <w:t>שנייה</w:t>
      </w:r>
      <w:r w:rsidR="00D06245">
        <w:rPr>
          <w:rFonts w:cs="FrankRuehl" w:hint="cs"/>
          <w:sz w:val="22"/>
          <w:szCs w:val="22"/>
          <w:rtl/>
        </w:rPr>
        <w:t xml:space="preserve"> במסלול רשויות מקומיות), תשע"</w:t>
      </w:r>
      <w:r w:rsidR="005C2F5E">
        <w:rPr>
          <w:rFonts w:cs="FrankRuehl" w:hint="cs"/>
          <w:sz w:val="22"/>
          <w:szCs w:val="22"/>
          <w:rtl/>
        </w:rPr>
        <w:t>ז</w:t>
      </w:r>
      <w:r w:rsidR="00D06245">
        <w:rPr>
          <w:rFonts w:cs="FrankRuehl" w:hint="cs"/>
          <w:sz w:val="22"/>
          <w:szCs w:val="22"/>
          <w:rtl/>
        </w:rPr>
        <w:t>-201</w:t>
      </w:r>
      <w:r w:rsidR="005C2F5E">
        <w:rPr>
          <w:rFonts w:cs="FrankRuehl" w:hint="cs"/>
          <w:sz w:val="22"/>
          <w:szCs w:val="22"/>
          <w:rtl/>
        </w:rPr>
        <w:t>7</w:t>
      </w:r>
      <w:r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Pr="00795699">
          <w:rPr>
            <w:rStyle w:val="Hyperlink"/>
            <w:rFonts w:cs="FrankRuehl"/>
            <w:sz w:val="22"/>
            <w:szCs w:val="22"/>
            <w:rtl/>
          </w:rPr>
          <w:t>ק"ת תשע"</w:t>
        </w:r>
        <w:r w:rsidR="005C2F5E">
          <w:rPr>
            <w:rStyle w:val="Hyperlink"/>
            <w:rFonts w:cs="FrankRuehl" w:hint="cs"/>
            <w:sz w:val="22"/>
            <w:szCs w:val="22"/>
            <w:rtl/>
          </w:rPr>
          <w:t>ז</w:t>
        </w:r>
        <w:r w:rsidRPr="00795699">
          <w:rPr>
            <w:rStyle w:val="Hyperlink"/>
            <w:rFonts w:cs="FrankRuehl"/>
            <w:sz w:val="22"/>
            <w:szCs w:val="22"/>
            <w:rtl/>
          </w:rPr>
          <w:t xml:space="preserve"> מס' 7</w:t>
        </w:r>
        <w:r w:rsidR="005C2F5E">
          <w:rPr>
            <w:rStyle w:val="Hyperlink"/>
            <w:rFonts w:cs="FrankRuehl" w:hint="cs"/>
            <w:sz w:val="22"/>
            <w:szCs w:val="22"/>
            <w:rtl/>
          </w:rPr>
          <w:t>837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D06245">
        <w:rPr>
          <w:rFonts w:cs="FrankRuehl" w:hint="cs"/>
          <w:sz w:val="22"/>
          <w:szCs w:val="22"/>
          <w:rtl/>
        </w:rPr>
        <w:t>10.</w:t>
      </w:r>
      <w:r w:rsidR="005C2F5E">
        <w:rPr>
          <w:rFonts w:cs="FrankRuehl" w:hint="cs"/>
          <w:sz w:val="22"/>
          <w:szCs w:val="22"/>
          <w:rtl/>
        </w:rPr>
        <w:t>7</w:t>
      </w:r>
      <w:r w:rsidR="00D06245">
        <w:rPr>
          <w:rFonts w:cs="FrankRuehl" w:hint="cs"/>
          <w:sz w:val="22"/>
          <w:szCs w:val="22"/>
          <w:rtl/>
        </w:rPr>
        <w:t>.201</w:t>
      </w:r>
      <w:r w:rsidR="005C2F5E">
        <w:rPr>
          <w:rFonts w:cs="FrankRuehl" w:hint="cs"/>
          <w:sz w:val="22"/>
          <w:szCs w:val="22"/>
          <w:rtl/>
        </w:rPr>
        <w:t>7</w:t>
      </w:r>
      <w:r>
        <w:rPr>
          <w:rFonts w:cs="FrankRuehl" w:hint="cs"/>
          <w:sz w:val="22"/>
          <w:szCs w:val="22"/>
          <w:rtl/>
        </w:rPr>
        <w:t xml:space="preserve"> עמ' </w:t>
      </w:r>
      <w:r w:rsidR="005C2F5E">
        <w:rPr>
          <w:rFonts w:cs="FrankRuehl" w:hint="cs"/>
          <w:sz w:val="22"/>
          <w:szCs w:val="22"/>
          <w:rtl/>
        </w:rPr>
        <w:t>1355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9A7B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40249A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6D09E3A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592E" w14:textId="77777777" w:rsidR="00415244" w:rsidRDefault="00D95F22" w:rsidP="000B416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860128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FE7572">
      <w:rPr>
        <w:rFonts w:hAnsi="FrankRuehl" w:cs="FrankRuehl" w:hint="cs"/>
        <w:color w:val="000000"/>
        <w:sz w:val="28"/>
        <w:szCs w:val="28"/>
        <w:rtl/>
      </w:rPr>
      <w:t>10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6A2AA5">
      <w:rPr>
        <w:rFonts w:hAnsi="FrankRuehl" w:cs="FrankRuehl" w:hint="cs"/>
        <w:color w:val="000000"/>
        <w:sz w:val="28"/>
        <w:szCs w:val="28"/>
        <w:rtl/>
      </w:rPr>
      <w:t>ח</w:t>
    </w:r>
    <w:r w:rsidR="000B4165">
      <w:rPr>
        <w:rFonts w:hAnsi="FrankRuehl" w:cs="FrankRuehl" w:hint="cs"/>
        <w:color w:val="000000"/>
        <w:sz w:val="28"/>
        <w:szCs w:val="28"/>
        <w:rtl/>
      </w:rPr>
      <w:t>-201</w:t>
    </w:r>
    <w:r w:rsidR="005E4178">
      <w:rPr>
        <w:rFonts w:hAnsi="FrankRuehl" w:cs="FrankRuehl" w:hint="cs"/>
        <w:color w:val="000000"/>
        <w:sz w:val="28"/>
        <w:szCs w:val="28"/>
        <w:rtl/>
      </w:rPr>
      <w:t>8</w:t>
    </w:r>
  </w:p>
  <w:p w14:paraId="0A5BF0A3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2B562A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2710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54D99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2D11"/>
    <w:rsid w:val="000948CA"/>
    <w:rsid w:val="00094DD9"/>
    <w:rsid w:val="000B3FFF"/>
    <w:rsid w:val="000B4165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0F6C8B"/>
    <w:rsid w:val="001001D1"/>
    <w:rsid w:val="00102B63"/>
    <w:rsid w:val="0010753D"/>
    <w:rsid w:val="00112119"/>
    <w:rsid w:val="001150B9"/>
    <w:rsid w:val="00121D26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54FB9"/>
    <w:rsid w:val="00157410"/>
    <w:rsid w:val="001615C2"/>
    <w:rsid w:val="00163301"/>
    <w:rsid w:val="001653CF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03E3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35A5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0B74"/>
    <w:rsid w:val="00371ACE"/>
    <w:rsid w:val="00373ACB"/>
    <w:rsid w:val="0037705A"/>
    <w:rsid w:val="00384B62"/>
    <w:rsid w:val="00395CE1"/>
    <w:rsid w:val="003A1CE0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04CE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49E"/>
    <w:rsid w:val="00460500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22DF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0781"/>
    <w:rsid w:val="00593F5E"/>
    <w:rsid w:val="005A4835"/>
    <w:rsid w:val="005A6724"/>
    <w:rsid w:val="005B0D90"/>
    <w:rsid w:val="005B30BE"/>
    <w:rsid w:val="005B67DB"/>
    <w:rsid w:val="005C13E4"/>
    <w:rsid w:val="005C17DB"/>
    <w:rsid w:val="005C2F28"/>
    <w:rsid w:val="005C2F5E"/>
    <w:rsid w:val="005C6342"/>
    <w:rsid w:val="005D404E"/>
    <w:rsid w:val="005D6BA5"/>
    <w:rsid w:val="005D72E7"/>
    <w:rsid w:val="005E00B5"/>
    <w:rsid w:val="005E3B35"/>
    <w:rsid w:val="005E4178"/>
    <w:rsid w:val="005E616B"/>
    <w:rsid w:val="005E67B1"/>
    <w:rsid w:val="005E7167"/>
    <w:rsid w:val="005E7BA4"/>
    <w:rsid w:val="005F18E0"/>
    <w:rsid w:val="006054F3"/>
    <w:rsid w:val="00605671"/>
    <w:rsid w:val="00614CD9"/>
    <w:rsid w:val="0061568A"/>
    <w:rsid w:val="00617252"/>
    <w:rsid w:val="0061779C"/>
    <w:rsid w:val="0062009E"/>
    <w:rsid w:val="0062155B"/>
    <w:rsid w:val="006232B4"/>
    <w:rsid w:val="00625C99"/>
    <w:rsid w:val="00630F20"/>
    <w:rsid w:val="00634371"/>
    <w:rsid w:val="00635CB5"/>
    <w:rsid w:val="00640B97"/>
    <w:rsid w:val="00642120"/>
    <w:rsid w:val="00650A46"/>
    <w:rsid w:val="0065191D"/>
    <w:rsid w:val="006573C4"/>
    <w:rsid w:val="006618EF"/>
    <w:rsid w:val="00672071"/>
    <w:rsid w:val="006741BB"/>
    <w:rsid w:val="00675948"/>
    <w:rsid w:val="00677514"/>
    <w:rsid w:val="00680706"/>
    <w:rsid w:val="006811F8"/>
    <w:rsid w:val="00682A1F"/>
    <w:rsid w:val="00683FEC"/>
    <w:rsid w:val="00684080"/>
    <w:rsid w:val="006849D8"/>
    <w:rsid w:val="00686D34"/>
    <w:rsid w:val="00687666"/>
    <w:rsid w:val="00697EB2"/>
    <w:rsid w:val="006A0AF5"/>
    <w:rsid w:val="006A2AA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4FB5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08E7"/>
    <w:rsid w:val="0074115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95699"/>
    <w:rsid w:val="007A1FF2"/>
    <w:rsid w:val="007A3993"/>
    <w:rsid w:val="007A412F"/>
    <w:rsid w:val="007A74CA"/>
    <w:rsid w:val="007B400F"/>
    <w:rsid w:val="007B6045"/>
    <w:rsid w:val="007B6E20"/>
    <w:rsid w:val="007B7B5B"/>
    <w:rsid w:val="007C0430"/>
    <w:rsid w:val="007C0B21"/>
    <w:rsid w:val="007C1804"/>
    <w:rsid w:val="007C57AA"/>
    <w:rsid w:val="007D085D"/>
    <w:rsid w:val="007D32F5"/>
    <w:rsid w:val="007D4EE6"/>
    <w:rsid w:val="007D726F"/>
    <w:rsid w:val="007D73DF"/>
    <w:rsid w:val="007E1937"/>
    <w:rsid w:val="007F0616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1420"/>
    <w:rsid w:val="00852A6C"/>
    <w:rsid w:val="0085655A"/>
    <w:rsid w:val="00860128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4BA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077B3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0412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1071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258DC"/>
    <w:rsid w:val="00A308E0"/>
    <w:rsid w:val="00A37976"/>
    <w:rsid w:val="00A42C95"/>
    <w:rsid w:val="00A53F3B"/>
    <w:rsid w:val="00A6118A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30A4"/>
    <w:rsid w:val="00AA50D7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7E1"/>
    <w:rsid w:val="00B12F53"/>
    <w:rsid w:val="00B173CC"/>
    <w:rsid w:val="00B17AF7"/>
    <w:rsid w:val="00B218F8"/>
    <w:rsid w:val="00B255CC"/>
    <w:rsid w:val="00B273CF"/>
    <w:rsid w:val="00B33928"/>
    <w:rsid w:val="00B36314"/>
    <w:rsid w:val="00B459E4"/>
    <w:rsid w:val="00B55BA2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1788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1D6E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5392"/>
    <w:rsid w:val="00CD6719"/>
    <w:rsid w:val="00CD67BC"/>
    <w:rsid w:val="00CD6F99"/>
    <w:rsid w:val="00CE1D30"/>
    <w:rsid w:val="00CE1F5F"/>
    <w:rsid w:val="00CE64CC"/>
    <w:rsid w:val="00CF29AD"/>
    <w:rsid w:val="00CF4B69"/>
    <w:rsid w:val="00CF79EB"/>
    <w:rsid w:val="00D06245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049F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9DD"/>
    <w:rsid w:val="00D95F22"/>
    <w:rsid w:val="00DA1151"/>
    <w:rsid w:val="00DA1B2B"/>
    <w:rsid w:val="00DB2F3B"/>
    <w:rsid w:val="00DB7031"/>
    <w:rsid w:val="00DC4F86"/>
    <w:rsid w:val="00DD4013"/>
    <w:rsid w:val="00DD4EE1"/>
    <w:rsid w:val="00DD6D56"/>
    <w:rsid w:val="00DF0302"/>
    <w:rsid w:val="00DF1462"/>
    <w:rsid w:val="00DF2216"/>
    <w:rsid w:val="00DF70B1"/>
    <w:rsid w:val="00DF712A"/>
    <w:rsid w:val="00E06B57"/>
    <w:rsid w:val="00E12A8A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A4128"/>
    <w:rsid w:val="00EB059B"/>
    <w:rsid w:val="00EB2FD0"/>
    <w:rsid w:val="00EB4559"/>
    <w:rsid w:val="00EB4F2E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3056"/>
    <w:rsid w:val="00EE528E"/>
    <w:rsid w:val="00EE70B6"/>
    <w:rsid w:val="00EF0C5C"/>
    <w:rsid w:val="00EF1C64"/>
    <w:rsid w:val="00EF2407"/>
    <w:rsid w:val="00EF62F1"/>
    <w:rsid w:val="00F01A87"/>
    <w:rsid w:val="00F07E26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50468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44D7"/>
    <w:rsid w:val="00F952EE"/>
    <w:rsid w:val="00F97644"/>
    <w:rsid w:val="00F978B2"/>
    <w:rsid w:val="00FA1FFE"/>
    <w:rsid w:val="00FA7979"/>
    <w:rsid w:val="00FA7F55"/>
    <w:rsid w:val="00FB1AE1"/>
    <w:rsid w:val="00FB27A7"/>
    <w:rsid w:val="00FC0A70"/>
    <w:rsid w:val="00FC4D18"/>
    <w:rsid w:val="00FC7F75"/>
    <w:rsid w:val="00FD0E6D"/>
    <w:rsid w:val="00FD3CF5"/>
    <w:rsid w:val="00FD516D"/>
    <w:rsid w:val="00FE1699"/>
    <w:rsid w:val="00FE7572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971FD7A"/>
  <w15:chartTrackingRefBased/>
  <w15:docId w15:val="{A251574B-9868-4D92-9B51-2C82189E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F07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837.pdf" TargetMode="External"/><Relationship Id="rId1" Type="http://schemas.openxmlformats.org/officeDocument/2006/relationships/hyperlink" Target="http://www.nevo.co.il/Law_word/law06/TAK-80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1349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http://www.nevo.co.il/law_word/law06/tak-7837.pdf</vt:lpwstr>
      </vt:variant>
      <vt:variant>
        <vt:lpwstr/>
      </vt:variant>
      <vt:variant>
        <vt:i4>7602185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http://www.nevo.co.il/Law_word/law06/TAK-8051.pdf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התכנון והבנייה (פטור מהיטל השבחה) (הוראת שעה מס' 10), תשע"ח-2018</vt:lpwstr>
  </property>
  <property fmtid="{D5CDD505-2E9C-101B-9397-08002B2CF9AE}" pid="4" name="LAWNUMBER">
    <vt:lpwstr>0930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http://www.nevo.co.il/Law_word/law06/TAK-8051.pdf;‎רשומות - תקנות כלליות#פורסם ק"ת תשע"ח ‏מס' 8051 #מיום 30.7.2018 עמ' 2587‏</vt:lpwstr>
  </property>
</Properties>
</file>