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28E3" w14:textId="77777777" w:rsidR="00D25D5C" w:rsidRDefault="00D95F22" w:rsidP="00EB5791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4A5BA6">
        <w:rPr>
          <w:rFonts w:cs="FrankRuehl" w:hint="cs"/>
          <w:sz w:val="32"/>
          <w:rtl/>
        </w:rPr>
        <w:t>)</w:t>
      </w:r>
      <w:r w:rsidR="00E87577">
        <w:rPr>
          <w:rFonts w:cs="FrankRuehl" w:hint="cs"/>
          <w:sz w:val="32"/>
          <w:rtl/>
        </w:rPr>
        <w:t xml:space="preserve"> (מס' 2)</w:t>
      </w:r>
      <w:r w:rsidR="00496121">
        <w:rPr>
          <w:rFonts w:cs="FrankRuehl" w:hint="cs"/>
          <w:sz w:val="32"/>
          <w:rtl/>
        </w:rPr>
        <w:t xml:space="preserve">, </w:t>
      </w:r>
      <w:r w:rsidR="00E87577">
        <w:rPr>
          <w:rFonts w:cs="FrankRuehl"/>
          <w:sz w:val="32"/>
          <w:rtl/>
        </w:rPr>
        <w:br/>
      </w:r>
      <w:r w:rsidR="00D867A1">
        <w:rPr>
          <w:rFonts w:cs="FrankRuehl" w:hint="cs"/>
          <w:sz w:val="32"/>
          <w:rtl/>
        </w:rPr>
        <w:t>תשע"</w:t>
      </w:r>
      <w:r w:rsidR="00EB5791">
        <w:rPr>
          <w:rFonts w:cs="FrankRuehl" w:hint="cs"/>
          <w:sz w:val="32"/>
          <w:rtl/>
        </w:rPr>
        <w:t>ד-2013</w:t>
      </w:r>
    </w:p>
    <w:p w14:paraId="60183EBD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1D2BD44B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357C0FD9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7378C00F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7A6D038B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432DF4B1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5510F441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0677462C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056EB" w:rsidRPr="001056EB" w14:paraId="375E8F04" w14:textId="77777777" w:rsidTr="001056E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CBB052" w14:textId="77777777" w:rsidR="001056EB" w:rsidRPr="001056EB" w:rsidRDefault="001056EB" w:rsidP="001056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9380552" w14:textId="77777777" w:rsidR="001056EB" w:rsidRPr="001056EB" w:rsidRDefault="001056EB" w:rsidP="001056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6530D1DC" w14:textId="77777777" w:rsidR="001056EB" w:rsidRPr="001056EB" w:rsidRDefault="001056EB" w:rsidP="001056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1056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EFD22B" w14:textId="77777777" w:rsidR="001056EB" w:rsidRPr="001056EB" w:rsidRDefault="001056EB" w:rsidP="001056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056EB" w:rsidRPr="001056EB" w14:paraId="4F88815E" w14:textId="77777777" w:rsidTr="001056E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A16CA9" w14:textId="77777777" w:rsidR="001056EB" w:rsidRPr="001056EB" w:rsidRDefault="001056EB" w:rsidP="001056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8D271EC" w14:textId="77777777" w:rsidR="001056EB" w:rsidRPr="001056EB" w:rsidRDefault="001056EB" w:rsidP="001056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6C696577" w14:textId="77777777" w:rsidR="001056EB" w:rsidRPr="001056EB" w:rsidRDefault="001056EB" w:rsidP="001056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1056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66744D" w14:textId="77777777" w:rsidR="001056EB" w:rsidRPr="001056EB" w:rsidRDefault="001056EB" w:rsidP="001056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2D7D35B" w14:textId="77777777" w:rsidR="00D25D5C" w:rsidRDefault="00D25D5C" w:rsidP="00EB5791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שעה)</w:t>
      </w:r>
      <w:r w:rsidR="00E87577">
        <w:rPr>
          <w:rFonts w:cs="FrankRuehl" w:hint="cs"/>
          <w:sz w:val="32"/>
          <w:rtl/>
        </w:rPr>
        <w:t xml:space="preserve"> (מס' 2)</w:t>
      </w:r>
      <w:r w:rsidR="00D867A1">
        <w:rPr>
          <w:rFonts w:cs="FrankRuehl" w:hint="cs"/>
          <w:sz w:val="32"/>
          <w:rtl/>
        </w:rPr>
        <w:t xml:space="preserve">, </w:t>
      </w:r>
      <w:r w:rsidR="00E87577">
        <w:rPr>
          <w:rFonts w:cs="FrankRuehl"/>
          <w:sz w:val="32"/>
          <w:rtl/>
        </w:rPr>
        <w:br/>
      </w:r>
      <w:r w:rsidR="00D867A1">
        <w:rPr>
          <w:rFonts w:cs="FrankRuehl" w:hint="cs"/>
          <w:sz w:val="32"/>
          <w:rtl/>
        </w:rPr>
        <w:t>תשע"</w:t>
      </w:r>
      <w:r w:rsidR="00EB5791">
        <w:rPr>
          <w:rFonts w:cs="FrankRuehl" w:hint="cs"/>
          <w:sz w:val="32"/>
          <w:rtl/>
        </w:rPr>
        <w:t>ד</w:t>
      </w:r>
      <w:r w:rsidR="00D867A1">
        <w:rPr>
          <w:rFonts w:cs="FrankRuehl" w:hint="cs"/>
          <w:sz w:val="32"/>
          <w:rtl/>
        </w:rPr>
        <w:t>-201</w:t>
      </w:r>
      <w:r w:rsidR="00EB5791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CD42C96" w14:textId="77777777" w:rsidR="00BD1625" w:rsidRDefault="00D43D50" w:rsidP="00E875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D95F22">
        <w:rPr>
          <w:rStyle w:val="default"/>
          <w:rFonts w:cs="FrankRuehl" w:hint="cs"/>
          <w:rtl/>
        </w:rPr>
        <w:t>סמכותנו לפי סעיף 19(ב)(2) לתוספת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>ה, התשכ"ה-1965</w:t>
      </w:r>
      <w:r w:rsidR="00521967">
        <w:rPr>
          <w:rStyle w:val="default"/>
          <w:rFonts w:cs="FrankRuehl" w:hint="cs"/>
          <w:rtl/>
        </w:rPr>
        <w:t xml:space="preserve"> (להלן </w:t>
      </w:r>
      <w:r w:rsidR="00521967">
        <w:rPr>
          <w:rStyle w:val="default"/>
          <w:rFonts w:cs="FrankRuehl"/>
          <w:rtl/>
        </w:rPr>
        <w:t>–</w:t>
      </w:r>
      <w:r w:rsidR="00521967">
        <w:rPr>
          <w:rStyle w:val="default"/>
          <w:rFonts w:cs="FrankRuehl" w:hint="cs"/>
          <w:rtl/>
        </w:rPr>
        <w:t xml:space="preserve"> החוק)</w:t>
      </w:r>
      <w:r w:rsidR="00D95F22">
        <w:rPr>
          <w:rStyle w:val="default"/>
          <w:rFonts w:cs="FrankRuehl" w:hint="cs"/>
          <w:rtl/>
        </w:rPr>
        <w:t xml:space="preserve">, ובהסכמת </w:t>
      </w:r>
      <w:r w:rsidR="00EB5791">
        <w:rPr>
          <w:rStyle w:val="default"/>
          <w:rFonts w:cs="FrankRuehl" w:hint="cs"/>
          <w:rtl/>
        </w:rPr>
        <w:t xml:space="preserve">עיריית </w:t>
      </w:r>
      <w:r w:rsidR="00E87577">
        <w:rPr>
          <w:rStyle w:val="default"/>
          <w:rFonts w:cs="FrankRuehl" w:hint="cs"/>
          <w:rtl/>
        </w:rPr>
        <w:t>חיפה</w:t>
      </w:r>
      <w:r w:rsidR="00D95F22">
        <w:rPr>
          <w:rStyle w:val="default"/>
          <w:rFonts w:cs="FrankRuehl" w:hint="cs"/>
          <w:rtl/>
        </w:rPr>
        <w:t xml:space="preserve">, אנו </w:t>
      </w:r>
      <w:r w:rsidR="00EB5791">
        <w:rPr>
          <w:rStyle w:val="default"/>
          <w:rFonts w:cs="FrankRuehl" w:hint="cs"/>
          <w:rtl/>
        </w:rPr>
        <w:t xml:space="preserve">מכריזים </w:t>
      </w:r>
      <w:r w:rsidR="00C06128">
        <w:rPr>
          <w:rStyle w:val="default"/>
          <w:rFonts w:cs="FrankRuehl" w:hint="cs"/>
          <w:rtl/>
        </w:rPr>
        <w:t>ו</w:t>
      </w:r>
      <w:r w:rsidR="00D95F22">
        <w:rPr>
          <w:rStyle w:val="default"/>
          <w:rFonts w:cs="FrankRuehl" w:hint="cs"/>
          <w:rtl/>
        </w:rPr>
        <w:t>מצווים לאמור</w:t>
      </w:r>
      <w:r>
        <w:rPr>
          <w:rStyle w:val="default"/>
          <w:rFonts w:cs="FrankRuehl" w:hint="cs"/>
          <w:rtl/>
        </w:rPr>
        <w:t>:</w:t>
      </w:r>
    </w:p>
    <w:p w14:paraId="22BF713A" w14:textId="77777777" w:rsidR="00642120" w:rsidRDefault="00642120" w:rsidP="00E87577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0" w:name="Seif1"/>
      <w:bookmarkEnd w:id="0"/>
      <w:r>
        <w:rPr>
          <w:lang w:val="he-IL"/>
        </w:rPr>
        <w:pict w14:anchorId="534E85FB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76C38201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EB5791">
        <w:rPr>
          <w:rStyle w:val="default"/>
          <w:rFonts w:cs="FrankRuehl" w:hint="cs"/>
          <w:sz w:val="20"/>
          <w:rtl/>
        </w:rPr>
        <w:t xml:space="preserve">בגין תכנית </w:t>
      </w:r>
      <w:r w:rsidR="00E87577">
        <w:rPr>
          <w:rStyle w:val="default"/>
          <w:rFonts w:cs="FrankRuehl" w:hint="cs"/>
          <w:sz w:val="20"/>
          <w:rtl/>
        </w:rPr>
        <w:t>חפ/2281</w:t>
      </w:r>
      <w:r w:rsidR="00EB5791">
        <w:rPr>
          <w:rStyle w:val="default"/>
          <w:rFonts w:cs="FrankRuehl" w:hint="cs"/>
          <w:sz w:val="20"/>
          <w:rtl/>
        </w:rPr>
        <w:t>,</w:t>
      </w:r>
      <w:r w:rsidR="00C829DC">
        <w:rPr>
          <w:rStyle w:val="default"/>
          <w:rFonts w:cs="FrankRuehl" w:hint="cs"/>
          <w:sz w:val="20"/>
          <w:rtl/>
        </w:rPr>
        <w:t xml:space="preserve"> </w:t>
      </w:r>
      <w:r w:rsidR="00E87577">
        <w:rPr>
          <w:rStyle w:val="default"/>
          <w:rFonts w:cs="FrankRuehl" w:hint="cs"/>
          <w:sz w:val="20"/>
          <w:rtl/>
        </w:rPr>
        <w:t xml:space="preserve">לרבות הקלות מכוחה, </w:t>
      </w:r>
      <w:r w:rsidR="00EB5791">
        <w:rPr>
          <w:rStyle w:val="default"/>
          <w:rFonts w:cs="FrankRuehl" w:hint="cs"/>
          <w:sz w:val="20"/>
          <w:rtl/>
        </w:rPr>
        <w:t xml:space="preserve">במתחם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E87577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256785EE" w14:textId="77777777" w:rsidR="00F23055" w:rsidRDefault="00F23055" w:rsidP="00E87577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1" w:name="Seif2"/>
      <w:bookmarkEnd w:id="1"/>
      <w:r>
        <w:rPr>
          <w:lang w:val="he-IL"/>
        </w:rPr>
        <w:pict w14:anchorId="0676D091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33F11821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87577">
        <w:rPr>
          <w:rStyle w:val="default"/>
          <w:rFonts w:cs="FrankRuehl" w:hint="cs"/>
          <w:sz w:val="20"/>
          <w:rtl/>
        </w:rPr>
        <w:t>צו זה יעמוד ב</w:t>
      </w:r>
      <w:r w:rsidR="00D95F22">
        <w:rPr>
          <w:rStyle w:val="default"/>
          <w:rFonts w:cs="FrankRuehl" w:hint="cs"/>
          <w:sz w:val="20"/>
          <w:rtl/>
        </w:rPr>
        <w:t xml:space="preserve">תוקפו </w:t>
      </w:r>
      <w:r w:rsidR="00E87577">
        <w:rPr>
          <w:rStyle w:val="default"/>
          <w:rFonts w:cs="FrankRuehl" w:hint="cs"/>
          <w:sz w:val="20"/>
          <w:rtl/>
        </w:rPr>
        <w:t>כל עוד צו הכרזה על מתחם פינוי לשם בינוי</w:t>
      </w:r>
      <w:r w:rsidR="00EA4128">
        <w:rPr>
          <w:rStyle w:val="a6"/>
          <w:rFonts w:cs="FrankRuehl"/>
          <w:rtl/>
        </w:rPr>
        <w:footnoteReference w:id="2"/>
      </w:r>
      <w:r w:rsidR="00EB5791">
        <w:rPr>
          <w:rStyle w:val="default"/>
          <w:rFonts w:cs="FrankRuehl" w:hint="cs"/>
          <w:sz w:val="20"/>
          <w:rtl/>
        </w:rPr>
        <w:t>,</w:t>
      </w:r>
      <w:r w:rsidR="00D95F22">
        <w:rPr>
          <w:rStyle w:val="default"/>
          <w:rFonts w:cs="FrankRuehl" w:hint="cs"/>
          <w:sz w:val="20"/>
          <w:rtl/>
        </w:rPr>
        <w:t xml:space="preserve"> </w:t>
      </w:r>
      <w:r w:rsidR="00E87577">
        <w:rPr>
          <w:rStyle w:val="default"/>
          <w:rFonts w:cs="FrankRuehl" w:hint="cs"/>
          <w:sz w:val="20"/>
          <w:rtl/>
        </w:rPr>
        <w:t>לפי סעיף 33א לחוק החל על המתחם יעמוד בתוקפו, לרבות בתקופת הארכתו, ככל שיוארך</w:t>
      </w:r>
      <w:r w:rsidR="00746DE0">
        <w:rPr>
          <w:rStyle w:val="default"/>
          <w:rFonts w:cs="FrankRuehl" w:hint="cs"/>
          <w:sz w:val="20"/>
          <w:rtl/>
        </w:rPr>
        <w:t>.</w:t>
      </w:r>
    </w:p>
    <w:p w14:paraId="0F89B65C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25920F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09610A7E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ADC2A5C" w14:textId="77777777" w:rsidR="00D95F22" w:rsidRDefault="003C3F19" w:rsidP="00EE2D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D95F22">
        <w:rPr>
          <w:rStyle w:val="default"/>
          <w:rFonts w:cs="FrankRuehl" w:hint="cs"/>
          <w:rtl/>
        </w:rPr>
        <w:t xml:space="preserve">גוש </w:t>
      </w:r>
      <w:r w:rsidR="00EE2DC8">
        <w:rPr>
          <w:rStyle w:val="default"/>
          <w:rFonts w:cs="FrankRuehl" w:hint="cs"/>
          <w:rtl/>
        </w:rPr>
        <w:t>11200,</w:t>
      </w:r>
      <w:r w:rsidR="00EB5791">
        <w:rPr>
          <w:rStyle w:val="default"/>
          <w:rFonts w:cs="FrankRuehl" w:hint="cs"/>
          <w:rtl/>
        </w:rPr>
        <w:t xml:space="preserve"> חלקות </w:t>
      </w:r>
      <w:r w:rsidR="00EE2DC8">
        <w:rPr>
          <w:rStyle w:val="default"/>
          <w:rFonts w:cs="FrankRuehl" w:hint="cs"/>
          <w:rtl/>
        </w:rPr>
        <w:t>262 עד 268</w:t>
      </w:r>
      <w:r w:rsidR="00EB5791">
        <w:rPr>
          <w:rStyle w:val="default"/>
          <w:rFonts w:cs="FrankRuehl" w:hint="cs"/>
          <w:rtl/>
        </w:rPr>
        <w:t>,</w:t>
      </w:r>
      <w:r w:rsidR="00C829DC">
        <w:rPr>
          <w:rStyle w:val="default"/>
          <w:rFonts w:cs="FrankRuehl" w:hint="cs"/>
          <w:rtl/>
        </w:rPr>
        <w:t xml:space="preserve"> במתחם </w:t>
      </w:r>
      <w:r w:rsidR="00EE2DC8">
        <w:rPr>
          <w:rStyle w:val="default"/>
          <w:rFonts w:cs="FrankRuehl" w:hint="cs"/>
          <w:rtl/>
        </w:rPr>
        <w:t>ברל כצנלסון בחיפה</w:t>
      </w:r>
      <w:r w:rsidR="00D95F22">
        <w:rPr>
          <w:rStyle w:val="default"/>
          <w:rFonts w:cs="FrankRuehl" w:hint="cs"/>
          <w:rtl/>
        </w:rPr>
        <w:t>.</w:t>
      </w:r>
    </w:p>
    <w:p w14:paraId="1B51FA2B" w14:textId="77777777" w:rsidR="00E87577" w:rsidRDefault="00E87577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F70915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242CB7" w14:textId="77777777" w:rsidR="00CB494E" w:rsidRDefault="00EB5791" w:rsidP="00EE2DC8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י"ב </w:t>
      </w:r>
      <w:r w:rsidR="00EE2DC8">
        <w:rPr>
          <w:rFonts w:cs="FrankRuehl" w:hint="cs"/>
          <w:sz w:val="26"/>
          <w:rtl/>
        </w:rPr>
        <w:t>בחשוון</w:t>
      </w:r>
      <w:r>
        <w:rPr>
          <w:rFonts w:cs="FrankRuehl" w:hint="cs"/>
          <w:sz w:val="26"/>
          <w:rtl/>
        </w:rPr>
        <w:t xml:space="preserve"> התשע"ד (16 </w:t>
      </w:r>
      <w:r w:rsidR="00EE2DC8">
        <w:rPr>
          <w:rFonts w:cs="FrankRuehl" w:hint="cs"/>
          <w:sz w:val="26"/>
          <w:rtl/>
        </w:rPr>
        <w:t>באוקטובר</w:t>
      </w:r>
      <w:r>
        <w:rPr>
          <w:rFonts w:cs="FrankRuehl" w:hint="cs"/>
          <w:sz w:val="26"/>
          <w:rtl/>
        </w:rPr>
        <w:t xml:space="preserve"> 2013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גדעון סער</w:t>
      </w:r>
      <w:r w:rsidR="00D95F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68D44A42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3331C7C1" w14:textId="77777777" w:rsidR="00E87577" w:rsidRDefault="00E87577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C901AB" w14:textId="77777777" w:rsidR="00E42675" w:rsidRDefault="00E4267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51CCB3" w14:textId="77777777" w:rsidR="001056EB" w:rsidRDefault="001056E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269EC1" w14:textId="77777777" w:rsidR="001056EB" w:rsidRDefault="001056E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A54701" w14:textId="77777777" w:rsidR="001056EB" w:rsidRDefault="001056EB" w:rsidP="001056E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1A1B2A1" w14:textId="77777777" w:rsidR="009C3187" w:rsidRPr="001056EB" w:rsidRDefault="009C3187" w:rsidP="001056E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C3187" w:rsidRPr="001056EB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55E5" w14:textId="77777777" w:rsidR="009013A3" w:rsidRDefault="009013A3">
      <w:r>
        <w:separator/>
      </w:r>
    </w:p>
  </w:endnote>
  <w:endnote w:type="continuationSeparator" w:id="0">
    <w:p w14:paraId="6F637121" w14:textId="77777777" w:rsidR="009013A3" w:rsidRDefault="0090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C5A5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6F2F859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22E4B06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E38F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056E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17FE898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0B14F7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111C" w14:textId="77777777" w:rsidR="009013A3" w:rsidRDefault="009013A3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B18AD5" w14:textId="77777777" w:rsidR="009013A3" w:rsidRDefault="009013A3">
      <w:pPr>
        <w:spacing w:before="60"/>
        <w:ind w:right="1134"/>
      </w:pPr>
      <w:r>
        <w:separator/>
      </w:r>
    </w:p>
  </w:footnote>
  <w:footnote w:id="1">
    <w:p w14:paraId="41CA819B" w14:textId="77777777" w:rsidR="00005E29" w:rsidRDefault="00415244" w:rsidP="00005E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005E29">
          <w:rPr>
            <w:rStyle w:val="Hyperlink"/>
            <w:rFonts w:cs="FrankRuehl" w:hint="cs"/>
            <w:rtl/>
          </w:rPr>
          <w:t>ק"ת תשע</w:t>
        </w:r>
        <w:r w:rsidR="00521967" w:rsidRPr="00005E29">
          <w:rPr>
            <w:rStyle w:val="Hyperlink"/>
            <w:rFonts w:cs="FrankRuehl" w:hint="cs"/>
            <w:rtl/>
          </w:rPr>
          <w:t>"</w:t>
        </w:r>
        <w:r w:rsidR="00EB5791" w:rsidRPr="00005E29">
          <w:rPr>
            <w:rStyle w:val="Hyperlink"/>
            <w:rFonts w:cs="FrankRuehl" w:hint="cs"/>
            <w:rtl/>
          </w:rPr>
          <w:t>ד</w:t>
        </w:r>
        <w:r w:rsidR="00521967" w:rsidRPr="00005E29">
          <w:rPr>
            <w:rStyle w:val="Hyperlink"/>
            <w:rFonts w:cs="FrankRuehl" w:hint="cs"/>
            <w:rtl/>
          </w:rPr>
          <w:t xml:space="preserve"> </w:t>
        </w:r>
        <w:r w:rsidRPr="00005E29">
          <w:rPr>
            <w:rStyle w:val="Hyperlink"/>
            <w:rFonts w:cs="FrankRuehl" w:hint="cs"/>
            <w:rtl/>
          </w:rPr>
          <w:t xml:space="preserve">מס' </w:t>
        </w:r>
        <w:r w:rsidR="00E87577" w:rsidRPr="00005E29">
          <w:rPr>
            <w:rStyle w:val="Hyperlink"/>
            <w:rFonts w:cs="FrankRuehl" w:hint="cs"/>
            <w:rtl/>
          </w:rPr>
          <w:t>7301</w:t>
        </w:r>
      </w:hyperlink>
      <w:r>
        <w:rPr>
          <w:rFonts w:cs="FrankRuehl" w:hint="cs"/>
          <w:rtl/>
        </w:rPr>
        <w:t xml:space="preserve"> מיום </w:t>
      </w:r>
      <w:r w:rsidR="00E87577">
        <w:rPr>
          <w:rFonts w:cs="FrankRuehl" w:hint="cs"/>
          <w:rtl/>
        </w:rPr>
        <w:t>4.11</w:t>
      </w:r>
      <w:r w:rsidR="00EB5791">
        <w:rPr>
          <w:rFonts w:cs="FrankRuehl" w:hint="cs"/>
          <w:rtl/>
        </w:rPr>
        <w:t>.2013</w:t>
      </w:r>
      <w:r>
        <w:rPr>
          <w:rFonts w:cs="FrankRuehl" w:hint="cs"/>
          <w:rtl/>
        </w:rPr>
        <w:t xml:space="preserve"> עמ' </w:t>
      </w:r>
      <w:r w:rsidR="00E87577">
        <w:rPr>
          <w:rFonts w:cs="FrankRuehl" w:hint="cs"/>
          <w:rtl/>
        </w:rPr>
        <w:t>188</w:t>
      </w:r>
      <w:r>
        <w:rPr>
          <w:rFonts w:cs="FrankRuehl" w:hint="cs"/>
          <w:rtl/>
        </w:rPr>
        <w:t>.</w:t>
      </w:r>
    </w:p>
  </w:footnote>
  <w:footnote w:id="2">
    <w:p w14:paraId="10DAEB62" w14:textId="77777777" w:rsidR="00EA4128" w:rsidRDefault="00EA4128" w:rsidP="00462EF5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 w:rsidRPr="00EA4128">
        <w:rPr>
          <w:rFonts w:cs="FrankRuehl" w:hint="cs"/>
          <w:sz w:val="22"/>
          <w:szCs w:val="22"/>
          <w:rtl/>
        </w:rPr>
        <w:t xml:space="preserve">צו </w:t>
      </w:r>
      <w:r w:rsidR="00462EF5">
        <w:rPr>
          <w:rFonts w:cs="FrankRuehl" w:hint="cs"/>
          <w:sz w:val="22"/>
          <w:szCs w:val="22"/>
          <w:rtl/>
        </w:rPr>
        <w:t>התכנון והבנייה (הארכת תוקף של הכרזה על מתחמים לפינוי לשם בינוי</w:t>
      </w:r>
      <w:r w:rsidR="00C829DC">
        <w:rPr>
          <w:rFonts w:cs="FrankRuehl" w:hint="cs"/>
          <w:sz w:val="22"/>
          <w:szCs w:val="22"/>
          <w:rtl/>
        </w:rPr>
        <w:t>), תשע"</w:t>
      </w:r>
      <w:r w:rsidR="00462EF5">
        <w:rPr>
          <w:rFonts w:cs="FrankRuehl" w:hint="cs"/>
          <w:sz w:val="22"/>
          <w:szCs w:val="22"/>
          <w:rtl/>
        </w:rPr>
        <w:t>ג</w:t>
      </w:r>
      <w:r w:rsidR="00C829DC">
        <w:rPr>
          <w:rFonts w:cs="FrankRuehl" w:hint="cs"/>
          <w:sz w:val="22"/>
          <w:szCs w:val="22"/>
          <w:rtl/>
        </w:rPr>
        <w:t>-201</w:t>
      </w:r>
      <w:r w:rsidR="00245228">
        <w:rPr>
          <w:rFonts w:cs="FrankRuehl" w:hint="cs"/>
          <w:sz w:val="22"/>
          <w:szCs w:val="22"/>
          <w:rtl/>
        </w:rPr>
        <w:t>3</w:t>
      </w:r>
      <w:r w:rsidR="00C829DC"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="00C829DC" w:rsidRPr="00C829DC">
          <w:rPr>
            <w:rStyle w:val="Hyperlink"/>
            <w:rFonts w:cs="FrankRuehl" w:hint="cs"/>
            <w:sz w:val="22"/>
            <w:szCs w:val="22"/>
            <w:rtl/>
          </w:rPr>
          <w:t>ק"ת תשע"</w:t>
        </w:r>
        <w:r w:rsidR="00462EF5">
          <w:rPr>
            <w:rStyle w:val="Hyperlink"/>
            <w:rFonts w:cs="FrankRuehl" w:hint="cs"/>
            <w:sz w:val="22"/>
            <w:szCs w:val="22"/>
            <w:rtl/>
          </w:rPr>
          <w:t>ג</w:t>
        </w:r>
        <w:r w:rsidR="00C829DC" w:rsidRPr="00C829DC">
          <w:rPr>
            <w:rStyle w:val="Hyperlink"/>
            <w:rFonts w:cs="FrankRuehl" w:hint="cs"/>
            <w:sz w:val="22"/>
            <w:szCs w:val="22"/>
            <w:rtl/>
          </w:rPr>
          <w:t xml:space="preserve"> מס' 7</w:t>
        </w:r>
        <w:r w:rsidR="00245228">
          <w:rPr>
            <w:rStyle w:val="Hyperlink"/>
            <w:rFonts w:cs="FrankRuehl" w:hint="cs"/>
            <w:sz w:val="22"/>
            <w:szCs w:val="22"/>
            <w:rtl/>
          </w:rPr>
          <w:t>2</w:t>
        </w:r>
        <w:r w:rsidR="00462EF5">
          <w:rPr>
            <w:rStyle w:val="Hyperlink"/>
            <w:rFonts w:cs="FrankRuehl" w:hint="cs"/>
            <w:sz w:val="22"/>
            <w:szCs w:val="22"/>
            <w:rtl/>
          </w:rPr>
          <w:t>30</w:t>
        </w:r>
      </w:hyperlink>
      <w:r w:rsidR="00C829DC">
        <w:rPr>
          <w:rFonts w:cs="FrankRuehl" w:hint="cs"/>
          <w:sz w:val="22"/>
          <w:szCs w:val="22"/>
          <w:rtl/>
        </w:rPr>
        <w:t xml:space="preserve"> מיום </w:t>
      </w:r>
      <w:r w:rsidR="00462EF5">
        <w:rPr>
          <w:rFonts w:cs="FrankRuehl" w:hint="cs"/>
          <w:sz w:val="22"/>
          <w:szCs w:val="22"/>
          <w:rtl/>
        </w:rPr>
        <w:t>10.3</w:t>
      </w:r>
      <w:r w:rsidR="00245228">
        <w:rPr>
          <w:rFonts w:cs="FrankRuehl" w:hint="cs"/>
          <w:sz w:val="22"/>
          <w:szCs w:val="22"/>
          <w:rtl/>
        </w:rPr>
        <w:t>.2013</w:t>
      </w:r>
      <w:r w:rsidR="00C829DC">
        <w:rPr>
          <w:rFonts w:cs="FrankRuehl" w:hint="cs"/>
          <w:sz w:val="22"/>
          <w:szCs w:val="22"/>
          <w:rtl/>
        </w:rPr>
        <w:t xml:space="preserve"> עמ' </w:t>
      </w:r>
      <w:r w:rsidR="00462EF5">
        <w:rPr>
          <w:rFonts w:cs="FrankRuehl" w:hint="cs"/>
          <w:sz w:val="22"/>
          <w:szCs w:val="22"/>
          <w:rtl/>
        </w:rPr>
        <w:t>860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9DE1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5A989DE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1AEE48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30347" w14:textId="77777777" w:rsidR="00415244" w:rsidRDefault="00D95F22" w:rsidP="00EB579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415244">
      <w:rPr>
        <w:rFonts w:hAnsi="FrankRuehl" w:cs="FrankRuehl" w:hint="cs"/>
        <w:color w:val="000000"/>
        <w:sz w:val="28"/>
        <w:szCs w:val="28"/>
        <w:rtl/>
      </w:rPr>
      <w:t>)</w:t>
    </w:r>
    <w:r w:rsidR="00E87577">
      <w:rPr>
        <w:rFonts w:hAnsi="FrankRuehl" w:cs="FrankRuehl" w:hint="cs"/>
        <w:color w:val="000000"/>
        <w:sz w:val="28"/>
        <w:szCs w:val="28"/>
        <w:rtl/>
      </w:rPr>
      <w:t xml:space="preserve"> (מס' 2)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D867A1">
      <w:rPr>
        <w:rFonts w:hAnsi="FrankRuehl" w:cs="FrankRuehl" w:hint="cs"/>
        <w:color w:val="000000"/>
        <w:sz w:val="28"/>
        <w:szCs w:val="28"/>
        <w:rtl/>
      </w:rPr>
      <w:t>תשע"</w:t>
    </w:r>
    <w:r w:rsidR="00EB5791">
      <w:rPr>
        <w:rFonts w:hAnsi="FrankRuehl" w:cs="FrankRuehl" w:hint="cs"/>
        <w:color w:val="000000"/>
        <w:sz w:val="28"/>
        <w:szCs w:val="28"/>
        <w:rtl/>
      </w:rPr>
      <w:t>ד-2013</w:t>
    </w:r>
  </w:p>
  <w:p w14:paraId="7361723D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6877E1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5470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05E29"/>
    <w:rsid w:val="000100B8"/>
    <w:rsid w:val="000146A6"/>
    <w:rsid w:val="000200C1"/>
    <w:rsid w:val="000201C8"/>
    <w:rsid w:val="00033964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1001D1"/>
    <w:rsid w:val="00102B63"/>
    <w:rsid w:val="001056EB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62EF5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11F8"/>
    <w:rsid w:val="00683FEC"/>
    <w:rsid w:val="00684080"/>
    <w:rsid w:val="006849D8"/>
    <w:rsid w:val="00687666"/>
    <w:rsid w:val="00697EB2"/>
    <w:rsid w:val="006A0AF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2A6C"/>
    <w:rsid w:val="0085655A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E0EC9"/>
    <w:rsid w:val="008E3201"/>
    <w:rsid w:val="008E367E"/>
    <w:rsid w:val="008E36CB"/>
    <w:rsid w:val="008E73A8"/>
    <w:rsid w:val="008E7FBC"/>
    <w:rsid w:val="00901385"/>
    <w:rsid w:val="009013A3"/>
    <w:rsid w:val="00902390"/>
    <w:rsid w:val="00904CD2"/>
    <w:rsid w:val="00904EEA"/>
    <w:rsid w:val="00906581"/>
    <w:rsid w:val="00911822"/>
    <w:rsid w:val="00921766"/>
    <w:rsid w:val="00923E55"/>
    <w:rsid w:val="0092503F"/>
    <w:rsid w:val="00925673"/>
    <w:rsid w:val="00927A15"/>
    <w:rsid w:val="00930066"/>
    <w:rsid w:val="00934563"/>
    <w:rsid w:val="00937C57"/>
    <w:rsid w:val="00940601"/>
    <w:rsid w:val="00943E80"/>
    <w:rsid w:val="00947DE7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C2916"/>
    <w:rsid w:val="009C2B9E"/>
    <w:rsid w:val="009C3187"/>
    <w:rsid w:val="009C519A"/>
    <w:rsid w:val="009C5B73"/>
    <w:rsid w:val="009D2D28"/>
    <w:rsid w:val="009D50CE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F53"/>
    <w:rsid w:val="00B173CC"/>
    <w:rsid w:val="00B17AF7"/>
    <w:rsid w:val="00B218F8"/>
    <w:rsid w:val="00B255CC"/>
    <w:rsid w:val="00B273CF"/>
    <w:rsid w:val="00B36314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6128"/>
    <w:rsid w:val="00C0712A"/>
    <w:rsid w:val="00C07231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6719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A1151"/>
    <w:rsid w:val="00DA1B2B"/>
    <w:rsid w:val="00DB2F3B"/>
    <w:rsid w:val="00DB7031"/>
    <w:rsid w:val="00DC4F86"/>
    <w:rsid w:val="00DD4EE1"/>
    <w:rsid w:val="00DD6D56"/>
    <w:rsid w:val="00DF0302"/>
    <w:rsid w:val="00DF1462"/>
    <w:rsid w:val="00DF2216"/>
    <w:rsid w:val="00DF5910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87577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2DC8"/>
    <w:rsid w:val="00EE3056"/>
    <w:rsid w:val="00EE528E"/>
    <w:rsid w:val="00EE70B6"/>
    <w:rsid w:val="00EF0C5C"/>
    <w:rsid w:val="00EF1C64"/>
    <w:rsid w:val="00EF2407"/>
    <w:rsid w:val="00EF62F1"/>
    <w:rsid w:val="00F01A87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3DCB"/>
    <w:rsid w:val="00FD516D"/>
    <w:rsid w:val="00FE1699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19B95ED"/>
  <w15:chartTrackingRefBased/>
  <w15:docId w15:val="{F0151B7A-8A88-4065-BA36-AE4C516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230.pdf" TargetMode="External"/><Relationship Id="rId1" Type="http://schemas.openxmlformats.org/officeDocument/2006/relationships/hyperlink" Target="http://www.nevo.co.il/Law_word/law06/TAK-73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1316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התכנון והבנייה (פטור מהיטל השבחה) (הוראת שעה) (מס' 2), תשע"ד-2013</vt:lpwstr>
  </property>
  <property fmtid="{D5CDD505-2E9C-101B-9397-08002B2CF9AE}" pid="4" name="LAWNUMBER">
    <vt:lpwstr>0937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http://www.nevo.co.il/Law_word/law06/TAK-7301.pdf;‎רשומות - תקנות כלליות#פורסם ק"ת תשע"ד ‏מס' 7301 #מיום 4.11.2013 עמ' 188‏</vt:lpwstr>
  </property>
</Properties>
</file>