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2B526" w14:textId="77777777" w:rsidR="00D25D5C" w:rsidRDefault="00D95F22" w:rsidP="00FC4DCE">
      <w:pPr>
        <w:pStyle w:val="big-header"/>
        <w:spacing w:line="240" w:lineRule="auto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צו התכנון והבני</w:t>
      </w:r>
      <w:r w:rsidR="00D867A1">
        <w:rPr>
          <w:rFonts w:cs="FrankRuehl" w:hint="cs"/>
          <w:sz w:val="32"/>
          <w:rtl/>
        </w:rPr>
        <w:t>י</w:t>
      </w:r>
      <w:r>
        <w:rPr>
          <w:rFonts w:cs="FrankRuehl" w:hint="cs"/>
          <w:sz w:val="32"/>
          <w:rtl/>
        </w:rPr>
        <w:t>ה (פטור מהיטל השבחה) (הוראת שעה</w:t>
      </w:r>
      <w:r w:rsidR="004A5BA6">
        <w:rPr>
          <w:rFonts w:cs="FrankRuehl" w:hint="cs"/>
          <w:sz w:val="32"/>
          <w:rtl/>
        </w:rPr>
        <w:t>)</w:t>
      </w:r>
      <w:r w:rsidR="00E87577">
        <w:rPr>
          <w:rFonts w:cs="FrankRuehl" w:hint="cs"/>
          <w:sz w:val="32"/>
          <w:rtl/>
        </w:rPr>
        <w:t xml:space="preserve"> (מס' </w:t>
      </w:r>
      <w:r w:rsidR="00FC4DCE">
        <w:rPr>
          <w:rFonts w:cs="FrankRuehl" w:hint="cs"/>
          <w:sz w:val="32"/>
          <w:rtl/>
        </w:rPr>
        <w:t>3</w:t>
      </w:r>
      <w:r w:rsidR="00E87577">
        <w:rPr>
          <w:rFonts w:cs="FrankRuehl" w:hint="cs"/>
          <w:sz w:val="32"/>
          <w:rtl/>
        </w:rPr>
        <w:t>)</w:t>
      </w:r>
      <w:r w:rsidR="00496121">
        <w:rPr>
          <w:rFonts w:cs="FrankRuehl" w:hint="cs"/>
          <w:sz w:val="32"/>
          <w:rtl/>
        </w:rPr>
        <w:t xml:space="preserve">, </w:t>
      </w:r>
      <w:r w:rsidR="00E87577">
        <w:rPr>
          <w:rFonts w:cs="FrankRuehl"/>
          <w:sz w:val="32"/>
          <w:rtl/>
        </w:rPr>
        <w:br/>
      </w:r>
      <w:r w:rsidR="00D867A1">
        <w:rPr>
          <w:rFonts w:cs="FrankRuehl" w:hint="cs"/>
          <w:sz w:val="32"/>
          <w:rtl/>
        </w:rPr>
        <w:t>תשע"</w:t>
      </w:r>
      <w:r w:rsidR="00EB5791">
        <w:rPr>
          <w:rFonts w:cs="FrankRuehl" w:hint="cs"/>
          <w:sz w:val="32"/>
          <w:rtl/>
        </w:rPr>
        <w:t>ד-2013</w:t>
      </w:r>
    </w:p>
    <w:p w14:paraId="4F0C6D50" w14:textId="77777777" w:rsidR="003F61D2" w:rsidRP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</w:p>
    <w:p w14:paraId="2ACA6F4E" w14:textId="77777777" w:rsidR="003F61D2" w:rsidRDefault="003F61D2" w:rsidP="003F61D2">
      <w:pPr>
        <w:spacing w:line="320" w:lineRule="auto"/>
        <w:jc w:val="left"/>
        <w:rPr>
          <w:rtl/>
        </w:rPr>
      </w:pPr>
    </w:p>
    <w:p w14:paraId="331CC3A0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רשויות ומשפט מנהלי</w:t>
      </w:r>
      <w:r w:rsidRPr="003F61D2">
        <w:rPr>
          <w:rFonts w:cs="FrankRuehl"/>
          <w:szCs w:val="26"/>
          <w:rtl/>
        </w:rPr>
        <w:t xml:space="preserve"> – תכנון ובניה – היטלים אגרות ופטורים</w:t>
      </w:r>
    </w:p>
    <w:p w14:paraId="7189A51E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מיסוי מקרקעין</w:t>
      </w:r>
    </w:p>
    <w:p w14:paraId="4890617D" w14:textId="77777777" w:rsidR="003F61D2" w:rsidRDefault="003F61D2" w:rsidP="003F61D2">
      <w:pPr>
        <w:spacing w:line="320" w:lineRule="auto"/>
        <w:jc w:val="left"/>
        <w:rPr>
          <w:rFonts w:cs="FrankRuehl"/>
          <w:szCs w:val="26"/>
          <w:rtl/>
        </w:rPr>
      </w:pPr>
      <w:r w:rsidRPr="003F61D2">
        <w:rPr>
          <w:rFonts w:cs="Miriam"/>
          <w:szCs w:val="22"/>
          <w:rtl/>
        </w:rPr>
        <w:t>מסים</w:t>
      </w:r>
      <w:r w:rsidRPr="003F61D2">
        <w:rPr>
          <w:rFonts w:cs="FrankRuehl"/>
          <w:szCs w:val="26"/>
          <w:rtl/>
        </w:rPr>
        <w:t xml:space="preserve"> – היטלים – היטל השבחה</w:t>
      </w:r>
    </w:p>
    <w:p w14:paraId="65F8E055" w14:textId="77777777" w:rsidR="00C246A6" w:rsidRPr="003F61D2" w:rsidRDefault="003F61D2" w:rsidP="003F61D2">
      <w:pPr>
        <w:spacing w:line="320" w:lineRule="auto"/>
        <w:jc w:val="left"/>
        <w:rPr>
          <w:rFonts w:cs="Miriam"/>
          <w:szCs w:val="22"/>
          <w:rtl/>
        </w:rPr>
      </w:pPr>
      <w:r w:rsidRPr="003F61D2">
        <w:rPr>
          <w:rFonts w:cs="Miriam"/>
          <w:szCs w:val="22"/>
          <w:rtl/>
        </w:rPr>
        <w:t>משפט פרטי וכלכלה</w:t>
      </w:r>
      <w:r w:rsidRPr="003F61D2">
        <w:rPr>
          <w:rFonts w:cs="FrankRuehl"/>
          <w:szCs w:val="26"/>
          <w:rtl/>
        </w:rPr>
        <w:t xml:space="preserve"> – קניין – מקרקעין – מיסוי מקרקעין</w:t>
      </w:r>
    </w:p>
    <w:p w14:paraId="17C31A9D" w14:textId="77777777" w:rsidR="00C246A6" w:rsidRDefault="00C246A6" w:rsidP="00C246A6">
      <w:pPr>
        <w:spacing w:line="320" w:lineRule="auto"/>
        <w:jc w:val="left"/>
        <w:rPr>
          <w:rtl/>
        </w:rPr>
      </w:pPr>
    </w:p>
    <w:p w14:paraId="32E0A492" w14:textId="77777777" w:rsidR="00D25D5C" w:rsidRDefault="00D25D5C" w:rsidP="00F952EE">
      <w:pPr>
        <w:pStyle w:val="big-header"/>
        <w:spacing w:line="240" w:lineRule="auto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D7D19" w:rsidRPr="005D7D19" w14:paraId="6E049416" w14:textId="77777777" w:rsidTr="005D7D1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F163CF8" w14:textId="77777777" w:rsidR="005D7D19" w:rsidRPr="005D7D19" w:rsidRDefault="005D7D19" w:rsidP="005D7D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32DDE52" w14:textId="77777777" w:rsidR="005D7D19" w:rsidRPr="005D7D19" w:rsidRDefault="005D7D19" w:rsidP="005D7D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פטור מהיטל השבחה</w:t>
            </w:r>
          </w:p>
        </w:tc>
        <w:tc>
          <w:tcPr>
            <w:tcW w:w="567" w:type="dxa"/>
          </w:tcPr>
          <w:p w14:paraId="51B6BCBD" w14:textId="77777777" w:rsidR="005D7D19" w:rsidRPr="005D7D19" w:rsidRDefault="005D7D19" w:rsidP="005D7D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פטור מהיטל השבחה" w:history="1">
              <w:r w:rsidRPr="005D7D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A738D67" w14:textId="77777777" w:rsidR="005D7D19" w:rsidRPr="005D7D19" w:rsidRDefault="005D7D19" w:rsidP="005D7D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D7D19" w:rsidRPr="005D7D19" w14:paraId="211F37D7" w14:textId="77777777" w:rsidTr="005D7D1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B210DE" w14:textId="77777777" w:rsidR="005D7D19" w:rsidRPr="005D7D19" w:rsidRDefault="005D7D19" w:rsidP="005D7D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A3DFEAD" w14:textId="77777777" w:rsidR="005D7D19" w:rsidRPr="005D7D19" w:rsidRDefault="005D7D19" w:rsidP="005D7D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תוקף</w:t>
            </w:r>
          </w:p>
        </w:tc>
        <w:tc>
          <w:tcPr>
            <w:tcW w:w="567" w:type="dxa"/>
          </w:tcPr>
          <w:p w14:paraId="075FE727" w14:textId="77777777" w:rsidR="005D7D19" w:rsidRPr="005D7D19" w:rsidRDefault="005D7D19" w:rsidP="005D7D19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תוקף" w:history="1">
              <w:r w:rsidRPr="005D7D1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336E68" w14:textId="77777777" w:rsidR="005D7D19" w:rsidRPr="005D7D19" w:rsidRDefault="005D7D19" w:rsidP="005D7D19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5AE0574" w14:textId="77777777" w:rsidR="00D25D5C" w:rsidRDefault="00D25D5C" w:rsidP="00FC4DCE">
      <w:pPr>
        <w:pStyle w:val="big-header"/>
        <w:spacing w:line="240" w:lineRule="auto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D867A1">
        <w:rPr>
          <w:rFonts w:cs="FrankRuehl" w:hint="cs"/>
          <w:sz w:val="32"/>
          <w:rtl/>
        </w:rPr>
        <w:lastRenderedPageBreak/>
        <w:t>צו התכנון והבנייה (פטור מהיטל השבחה) (הוראת שעה)</w:t>
      </w:r>
      <w:r w:rsidR="00E87577">
        <w:rPr>
          <w:rFonts w:cs="FrankRuehl" w:hint="cs"/>
          <w:sz w:val="32"/>
          <w:rtl/>
        </w:rPr>
        <w:t xml:space="preserve"> (מס' </w:t>
      </w:r>
      <w:r w:rsidR="00FC4DCE">
        <w:rPr>
          <w:rFonts w:cs="FrankRuehl" w:hint="cs"/>
          <w:sz w:val="32"/>
          <w:rtl/>
        </w:rPr>
        <w:t>3</w:t>
      </w:r>
      <w:r w:rsidR="00E87577">
        <w:rPr>
          <w:rFonts w:cs="FrankRuehl" w:hint="cs"/>
          <w:sz w:val="32"/>
          <w:rtl/>
        </w:rPr>
        <w:t>)</w:t>
      </w:r>
      <w:r w:rsidR="00D867A1">
        <w:rPr>
          <w:rFonts w:cs="FrankRuehl" w:hint="cs"/>
          <w:sz w:val="32"/>
          <w:rtl/>
        </w:rPr>
        <w:t xml:space="preserve">, </w:t>
      </w:r>
      <w:r w:rsidR="00E87577">
        <w:rPr>
          <w:rFonts w:cs="FrankRuehl"/>
          <w:sz w:val="32"/>
          <w:rtl/>
        </w:rPr>
        <w:br/>
      </w:r>
      <w:r w:rsidR="00D867A1">
        <w:rPr>
          <w:rFonts w:cs="FrankRuehl" w:hint="cs"/>
          <w:sz w:val="32"/>
          <w:rtl/>
        </w:rPr>
        <w:t>תשע"</w:t>
      </w:r>
      <w:r w:rsidR="00EB5791">
        <w:rPr>
          <w:rFonts w:cs="FrankRuehl" w:hint="cs"/>
          <w:sz w:val="32"/>
          <w:rtl/>
        </w:rPr>
        <w:t>ד</w:t>
      </w:r>
      <w:r w:rsidR="00D867A1">
        <w:rPr>
          <w:rFonts w:cs="FrankRuehl" w:hint="cs"/>
          <w:sz w:val="32"/>
          <w:rtl/>
        </w:rPr>
        <w:t>-201</w:t>
      </w:r>
      <w:r w:rsidR="00EB5791">
        <w:rPr>
          <w:rFonts w:cs="FrankRuehl" w:hint="cs"/>
          <w:sz w:val="32"/>
          <w:rtl/>
        </w:rPr>
        <w:t>3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013FE85" w14:textId="77777777" w:rsidR="00BD1625" w:rsidRDefault="00D43D50" w:rsidP="00E8757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</w:t>
      </w:r>
      <w:r w:rsidR="00D95F22">
        <w:rPr>
          <w:rStyle w:val="default"/>
          <w:rFonts w:cs="FrankRuehl" w:hint="cs"/>
          <w:rtl/>
        </w:rPr>
        <w:t>סמכותנו לפי סעיף 19(ב)(2) לתוספת השלישית לחוק התכנון והבני</w:t>
      </w:r>
      <w:r w:rsidR="00D867A1">
        <w:rPr>
          <w:rStyle w:val="default"/>
          <w:rFonts w:cs="FrankRuehl" w:hint="cs"/>
          <w:rtl/>
        </w:rPr>
        <w:t>י</w:t>
      </w:r>
      <w:r w:rsidR="00D95F22">
        <w:rPr>
          <w:rStyle w:val="default"/>
          <w:rFonts w:cs="FrankRuehl" w:hint="cs"/>
          <w:rtl/>
        </w:rPr>
        <w:t>ה, התשכ"ה-1965</w:t>
      </w:r>
      <w:r w:rsidR="00521967">
        <w:rPr>
          <w:rStyle w:val="default"/>
          <w:rFonts w:cs="FrankRuehl" w:hint="cs"/>
          <w:rtl/>
        </w:rPr>
        <w:t xml:space="preserve"> (להלן </w:t>
      </w:r>
      <w:r w:rsidR="00521967">
        <w:rPr>
          <w:rStyle w:val="default"/>
          <w:rFonts w:cs="FrankRuehl"/>
          <w:rtl/>
        </w:rPr>
        <w:t>–</w:t>
      </w:r>
      <w:r w:rsidR="00521967">
        <w:rPr>
          <w:rStyle w:val="default"/>
          <w:rFonts w:cs="FrankRuehl" w:hint="cs"/>
          <w:rtl/>
        </w:rPr>
        <w:t xml:space="preserve"> החוק)</w:t>
      </w:r>
      <w:r w:rsidR="00D95F22">
        <w:rPr>
          <w:rStyle w:val="default"/>
          <w:rFonts w:cs="FrankRuehl" w:hint="cs"/>
          <w:rtl/>
        </w:rPr>
        <w:t xml:space="preserve">, ובהסכמת </w:t>
      </w:r>
      <w:r w:rsidR="00EB5791">
        <w:rPr>
          <w:rStyle w:val="default"/>
          <w:rFonts w:cs="FrankRuehl" w:hint="cs"/>
          <w:rtl/>
        </w:rPr>
        <w:t xml:space="preserve">עיריית </w:t>
      </w:r>
      <w:r w:rsidR="00E87577">
        <w:rPr>
          <w:rStyle w:val="default"/>
          <w:rFonts w:cs="FrankRuehl" w:hint="cs"/>
          <w:rtl/>
        </w:rPr>
        <w:t>חיפה</w:t>
      </w:r>
      <w:r w:rsidR="00D95F22">
        <w:rPr>
          <w:rStyle w:val="default"/>
          <w:rFonts w:cs="FrankRuehl" w:hint="cs"/>
          <w:rtl/>
        </w:rPr>
        <w:t xml:space="preserve">, אנו </w:t>
      </w:r>
      <w:r w:rsidR="00EB5791">
        <w:rPr>
          <w:rStyle w:val="default"/>
          <w:rFonts w:cs="FrankRuehl" w:hint="cs"/>
          <w:rtl/>
        </w:rPr>
        <w:t xml:space="preserve">מכריזים </w:t>
      </w:r>
      <w:r w:rsidR="00FC4DCE">
        <w:rPr>
          <w:rStyle w:val="default"/>
          <w:rFonts w:cs="FrankRuehl" w:hint="cs"/>
          <w:rtl/>
        </w:rPr>
        <w:t>ו</w:t>
      </w:r>
      <w:r w:rsidR="00D95F22">
        <w:rPr>
          <w:rStyle w:val="default"/>
          <w:rFonts w:cs="FrankRuehl" w:hint="cs"/>
          <w:rtl/>
        </w:rPr>
        <w:t>מצווים לאמור</w:t>
      </w:r>
      <w:r>
        <w:rPr>
          <w:rStyle w:val="default"/>
          <w:rFonts w:cs="FrankRuehl" w:hint="cs"/>
          <w:rtl/>
        </w:rPr>
        <w:t>:</w:t>
      </w:r>
    </w:p>
    <w:p w14:paraId="5A1803D0" w14:textId="77777777" w:rsidR="00642120" w:rsidRDefault="00642120" w:rsidP="00FC4DCE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0" w:name="Seif1"/>
      <w:bookmarkEnd w:id="0"/>
      <w:r>
        <w:rPr>
          <w:lang w:val="he-IL"/>
        </w:rPr>
        <w:pict w14:anchorId="40AF8D66">
          <v:rect id="_x0000_s1107" style="position:absolute;left:0;text-align:left;margin-left:464.5pt;margin-top:8.05pt;width:75.05pt;height:15pt;z-index:251657216" o:allowincell="f" filled="f" stroked="f" strokecolor="lime" strokeweight=".25pt">
            <v:textbox inset="0,0,0,0">
              <w:txbxContent>
                <w:p w14:paraId="6F96449B" w14:textId="77777777" w:rsidR="00415244" w:rsidRDefault="00D95F22" w:rsidP="0064212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מהיטל השבחה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EB5791">
        <w:rPr>
          <w:rStyle w:val="default"/>
          <w:rFonts w:cs="FrankRuehl" w:hint="cs"/>
          <w:sz w:val="20"/>
          <w:rtl/>
        </w:rPr>
        <w:t xml:space="preserve">בתקופת תוקפו של צו זה </w:t>
      </w:r>
      <w:r w:rsidR="00D95F22">
        <w:rPr>
          <w:rStyle w:val="default"/>
          <w:rFonts w:cs="FrankRuehl" w:hint="cs"/>
          <w:sz w:val="20"/>
          <w:rtl/>
        </w:rPr>
        <w:t xml:space="preserve">לא תחול חובת תשלום היטל השבחה בשל בנייה של דירת מגורים על מקרקעין שהיה קיים עליהם מבנה ערב תחילתו של צו זה, או הרחבה של דירת מגורים </w:t>
      </w:r>
      <w:r w:rsidR="00EB5791">
        <w:rPr>
          <w:rStyle w:val="default"/>
          <w:rFonts w:cs="FrankRuehl" w:hint="cs"/>
          <w:sz w:val="20"/>
          <w:rtl/>
        </w:rPr>
        <w:t xml:space="preserve">בגין תכנית </w:t>
      </w:r>
      <w:r w:rsidR="00E87577">
        <w:rPr>
          <w:rStyle w:val="default"/>
          <w:rFonts w:cs="FrankRuehl" w:hint="cs"/>
          <w:sz w:val="20"/>
          <w:rtl/>
        </w:rPr>
        <w:t>חפ/</w:t>
      </w:r>
      <w:r w:rsidR="00FC4DCE">
        <w:rPr>
          <w:rStyle w:val="default"/>
          <w:rFonts w:cs="FrankRuehl" w:hint="cs"/>
          <w:sz w:val="20"/>
          <w:rtl/>
        </w:rPr>
        <w:t>2277</w:t>
      </w:r>
      <w:r w:rsidR="00EB5791">
        <w:rPr>
          <w:rStyle w:val="default"/>
          <w:rFonts w:cs="FrankRuehl" w:hint="cs"/>
          <w:sz w:val="20"/>
          <w:rtl/>
        </w:rPr>
        <w:t>,</w:t>
      </w:r>
      <w:r w:rsidR="00C829DC">
        <w:rPr>
          <w:rStyle w:val="default"/>
          <w:rFonts w:cs="FrankRuehl" w:hint="cs"/>
          <w:sz w:val="20"/>
          <w:rtl/>
        </w:rPr>
        <w:t xml:space="preserve"> </w:t>
      </w:r>
      <w:r w:rsidR="00E87577">
        <w:rPr>
          <w:rStyle w:val="default"/>
          <w:rFonts w:cs="FrankRuehl" w:hint="cs"/>
          <w:sz w:val="20"/>
          <w:rtl/>
        </w:rPr>
        <w:t xml:space="preserve">לרבות הקלות מכוחה, </w:t>
      </w:r>
      <w:r w:rsidR="00EB5791">
        <w:rPr>
          <w:rStyle w:val="default"/>
          <w:rFonts w:cs="FrankRuehl" w:hint="cs"/>
          <w:sz w:val="20"/>
          <w:rtl/>
        </w:rPr>
        <w:t xml:space="preserve">במתחם </w:t>
      </w:r>
      <w:r w:rsidR="00D95F22">
        <w:rPr>
          <w:rStyle w:val="default"/>
          <w:rFonts w:cs="FrankRuehl" w:hint="cs"/>
          <w:sz w:val="20"/>
          <w:rtl/>
        </w:rPr>
        <w:t>המתואר בתוספת</w:t>
      </w:r>
      <w:r w:rsidR="00EB5791">
        <w:rPr>
          <w:rStyle w:val="default"/>
          <w:rFonts w:cs="FrankRuehl" w:hint="cs"/>
          <w:sz w:val="20"/>
          <w:rtl/>
        </w:rPr>
        <w:t xml:space="preserve"> </w:t>
      </w:r>
      <w:r w:rsidR="00E87577">
        <w:rPr>
          <w:rStyle w:val="default"/>
          <w:rFonts w:cs="FrankRuehl" w:hint="cs"/>
          <w:sz w:val="20"/>
          <w:rtl/>
        </w:rPr>
        <w:t xml:space="preserve">לצו זה </w:t>
      </w:r>
      <w:r w:rsidR="00EB5791">
        <w:rPr>
          <w:rStyle w:val="default"/>
          <w:rFonts w:cs="FrankRuehl" w:hint="cs"/>
          <w:sz w:val="20"/>
          <w:rtl/>
        </w:rPr>
        <w:t xml:space="preserve">(להלן </w:t>
      </w:r>
      <w:r w:rsidR="00EB5791">
        <w:rPr>
          <w:rStyle w:val="default"/>
          <w:rFonts w:cs="FrankRuehl"/>
          <w:sz w:val="20"/>
          <w:rtl/>
        </w:rPr>
        <w:t>–</w:t>
      </w:r>
      <w:r w:rsidR="00EB5791">
        <w:rPr>
          <w:rStyle w:val="default"/>
          <w:rFonts w:cs="FrankRuehl" w:hint="cs"/>
          <w:sz w:val="20"/>
          <w:rtl/>
        </w:rPr>
        <w:t xml:space="preserve"> המתחם)</w:t>
      </w:r>
      <w:r w:rsidR="008E3201">
        <w:rPr>
          <w:rStyle w:val="default"/>
          <w:rFonts w:cs="FrankRuehl" w:hint="cs"/>
          <w:sz w:val="20"/>
          <w:rtl/>
        </w:rPr>
        <w:t>.</w:t>
      </w:r>
    </w:p>
    <w:p w14:paraId="6657380C" w14:textId="77777777" w:rsidR="00F23055" w:rsidRDefault="00F23055" w:rsidP="00E87577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  <w:bookmarkStart w:id="1" w:name="Seif2"/>
      <w:bookmarkEnd w:id="1"/>
      <w:r>
        <w:rPr>
          <w:lang w:val="he-IL"/>
        </w:rPr>
        <w:pict w14:anchorId="29D04D96">
          <v:rect id="_x0000_s1332" style="position:absolute;left:0;text-align:left;margin-left:464.5pt;margin-top:8.05pt;width:75.05pt;height:18.3pt;z-index:251658240" o:allowincell="f" filled="f" stroked="f" strokecolor="lime" strokeweight=".25pt">
            <v:textbox inset="0,0,0,0">
              <w:txbxContent>
                <w:p w14:paraId="66A0A916" w14:textId="77777777" w:rsidR="00415244" w:rsidRDefault="00D95F22" w:rsidP="00746DE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תוקף</w:t>
                  </w:r>
                </w:p>
              </w:txbxContent>
            </v:textbox>
            <w10:anchorlock/>
          </v:rect>
        </w:pict>
      </w:r>
      <w:r w:rsidR="000D3E1A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E87577">
        <w:rPr>
          <w:rStyle w:val="default"/>
          <w:rFonts w:cs="FrankRuehl" w:hint="cs"/>
          <w:sz w:val="20"/>
          <w:rtl/>
        </w:rPr>
        <w:t>צו זה יעמוד ב</w:t>
      </w:r>
      <w:r w:rsidR="00D95F22">
        <w:rPr>
          <w:rStyle w:val="default"/>
          <w:rFonts w:cs="FrankRuehl" w:hint="cs"/>
          <w:sz w:val="20"/>
          <w:rtl/>
        </w:rPr>
        <w:t xml:space="preserve">תוקפו </w:t>
      </w:r>
      <w:r w:rsidR="00E87577">
        <w:rPr>
          <w:rStyle w:val="default"/>
          <w:rFonts w:cs="FrankRuehl" w:hint="cs"/>
          <w:sz w:val="20"/>
          <w:rtl/>
        </w:rPr>
        <w:t>כל עוד צו הכרזה על מתחם פינוי לשם בינוי</w:t>
      </w:r>
      <w:r w:rsidR="00EA4128">
        <w:rPr>
          <w:rStyle w:val="a6"/>
          <w:rFonts w:cs="FrankRuehl"/>
          <w:rtl/>
        </w:rPr>
        <w:footnoteReference w:id="2"/>
      </w:r>
      <w:r w:rsidR="00EB5791">
        <w:rPr>
          <w:rStyle w:val="default"/>
          <w:rFonts w:cs="FrankRuehl" w:hint="cs"/>
          <w:sz w:val="20"/>
          <w:rtl/>
        </w:rPr>
        <w:t>,</w:t>
      </w:r>
      <w:r w:rsidR="00D95F22">
        <w:rPr>
          <w:rStyle w:val="default"/>
          <w:rFonts w:cs="FrankRuehl" w:hint="cs"/>
          <w:sz w:val="20"/>
          <w:rtl/>
        </w:rPr>
        <w:t xml:space="preserve"> </w:t>
      </w:r>
      <w:r w:rsidR="00E87577">
        <w:rPr>
          <w:rStyle w:val="default"/>
          <w:rFonts w:cs="FrankRuehl" w:hint="cs"/>
          <w:sz w:val="20"/>
          <w:rtl/>
        </w:rPr>
        <w:t>לפי סעיף 33א לחוק החל על המתחם יעמוד בתוקפו, לרבות בתקופת הארכתו, ככל שיוארך</w:t>
      </w:r>
      <w:r w:rsidR="00746DE0">
        <w:rPr>
          <w:rStyle w:val="default"/>
          <w:rFonts w:cs="FrankRuehl" w:hint="cs"/>
          <w:sz w:val="20"/>
          <w:rtl/>
        </w:rPr>
        <w:t>.</w:t>
      </w:r>
    </w:p>
    <w:p w14:paraId="3B0E1D5F" w14:textId="77777777" w:rsidR="00F23055" w:rsidRDefault="00F2305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7898667" w14:textId="77777777" w:rsidR="00D95F22" w:rsidRPr="00C829DC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sz w:val="24"/>
          <w:szCs w:val="24"/>
          <w:rtl/>
        </w:rPr>
      </w:pPr>
      <w:r w:rsidRPr="00C829DC">
        <w:rPr>
          <w:rStyle w:val="default"/>
          <w:rFonts w:cs="FrankRuehl" w:hint="cs"/>
          <w:b/>
          <w:bCs/>
          <w:sz w:val="24"/>
          <w:szCs w:val="24"/>
          <w:rtl/>
        </w:rPr>
        <w:t>תוספת</w:t>
      </w:r>
    </w:p>
    <w:p w14:paraId="61F5DC6E" w14:textId="77777777" w:rsidR="00D95F22" w:rsidRPr="00D95F22" w:rsidRDefault="00D95F22" w:rsidP="00D95F22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D95F22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0165EF3" w14:textId="77777777" w:rsidR="00D95F22" w:rsidRDefault="003C3F19" w:rsidP="00FC4DC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D95F22">
        <w:rPr>
          <w:rStyle w:val="default"/>
          <w:rFonts w:cs="FrankRuehl" w:hint="cs"/>
          <w:rtl/>
        </w:rPr>
        <w:t xml:space="preserve">גוש </w:t>
      </w:r>
      <w:r w:rsidR="00FC4DCE">
        <w:rPr>
          <w:rStyle w:val="default"/>
          <w:rFonts w:cs="FrankRuehl" w:hint="cs"/>
          <w:rtl/>
        </w:rPr>
        <w:t>10743</w:t>
      </w:r>
      <w:r w:rsidR="00EB5791">
        <w:rPr>
          <w:rStyle w:val="default"/>
          <w:rFonts w:cs="FrankRuehl" w:hint="cs"/>
          <w:rtl/>
        </w:rPr>
        <w:t xml:space="preserve"> חלקות </w:t>
      </w:r>
      <w:r w:rsidR="00FC4DCE">
        <w:rPr>
          <w:rStyle w:val="default"/>
          <w:rFonts w:cs="FrankRuehl" w:hint="cs"/>
          <w:rtl/>
        </w:rPr>
        <w:t>132, 133 ו-142</w:t>
      </w:r>
      <w:r w:rsidR="00EB5791">
        <w:rPr>
          <w:rStyle w:val="default"/>
          <w:rFonts w:cs="FrankRuehl" w:hint="cs"/>
          <w:rtl/>
        </w:rPr>
        <w:t>,</w:t>
      </w:r>
      <w:r w:rsidR="00C829DC">
        <w:rPr>
          <w:rStyle w:val="default"/>
          <w:rFonts w:cs="FrankRuehl" w:hint="cs"/>
          <w:rtl/>
        </w:rPr>
        <w:t xml:space="preserve"> במתחם </w:t>
      </w:r>
      <w:r w:rsidR="00FC4DCE">
        <w:rPr>
          <w:rStyle w:val="default"/>
          <w:rFonts w:cs="FrankRuehl" w:hint="cs"/>
          <w:rtl/>
        </w:rPr>
        <w:t>המלך חזקיהו</w:t>
      </w:r>
      <w:r w:rsidR="00EE2DC8">
        <w:rPr>
          <w:rStyle w:val="default"/>
          <w:rFonts w:cs="FrankRuehl" w:hint="cs"/>
          <w:rtl/>
        </w:rPr>
        <w:t xml:space="preserve"> בחיפה</w:t>
      </w:r>
      <w:r w:rsidR="00D95F22">
        <w:rPr>
          <w:rStyle w:val="default"/>
          <w:rFonts w:cs="FrankRuehl" w:hint="cs"/>
          <w:rtl/>
        </w:rPr>
        <w:t>.</w:t>
      </w:r>
    </w:p>
    <w:p w14:paraId="654554D6" w14:textId="77777777" w:rsidR="00FC4DCE" w:rsidRDefault="00FC4DCE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D4774D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F18B7C" w14:textId="77777777" w:rsidR="00CB494E" w:rsidRDefault="00EB5791" w:rsidP="00EE2DC8">
      <w:pPr>
        <w:pStyle w:val="sig-0"/>
        <w:tabs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 xml:space="preserve">י"ב </w:t>
      </w:r>
      <w:r w:rsidR="00EE2DC8">
        <w:rPr>
          <w:rFonts w:cs="FrankRuehl" w:hint="cs"/>
          <w:sz w:val="26"/>
          <w:rtl/>
        </w:rPr>
        <w:t>בחשוון</w:t>
      </w:r>
      <w:r>
        <w:rPr>
          <w:rFonts w:cs="FrankRuehl" w:hint="cs"/>
          <w:sz w:val="26"/>
          <w:rtl/>
        </w:rPr>
        <w:t xml:space="preserve"> התשע"ד (16 </w:t>
      </w:r>
      <w:r w:rsidR="00EE2DC8">
        <w:rPr>
          <w:rFonts w:cs="FrankRuehl" w:hint="cs"/>
          <w:sz w:val="26"/>
          <w:rtl/>
        </w:rPr>
        <w:t>באוקטובר</w:t>
      </w:r>
      <w:r>
        <w:rPr>
          <w:rFonts w:cs="FrankRuehl" w:hint="cs"/>
          <w:sz w:val="26"/>
          <w:rtl/>
        </w:rPr>
        <w:t xml:space="preserve"> 2013</w:t>
      </w:r>
      <w:r w:rsidR="00D11E24">
        <w:rPr>
          <w:rFonts w:cs="FrankRuehl" w:hint="cs"/>
          <w:sz w:val="26"/>
          <w:rtl/>
        </w:rPr>
        <w:t>)</w:t>
      </w:r>
      <w:r w:rsidR="00CB494E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גדעון סער</w:t>
      </w:r>
      <w:r w:rsidR="00D95F22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14:paraId="4180C49A" w14:textId="77777777" w:rsidR="0013416F" w:rsidRDefault="00D11E24" w:rsidP="00FF3430">
      <w:pPr>
        <w:pStyle w:val="sig-1"/>
        <w:widowControl/>
        <w:tabs>
          <w:tab w:val="clear" w:pos="851"/>
          <w:tab w:val="clear" w:pos="2835"/>
          <w:tab w:val="clear" w:pos="4820"/>
          <w:tab w:val="center" w:pos="4536"/>
          <w:tab w:val="center" w:pos="6237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1931BA">
        <w:rPr>
          <w:rFonts w:cs="FrankRuehl" w:hint="cs"/>
          <w:sz w:val="22"/>
          <w:rtl/>
        </w:rPr>
        <w:t xml:space="preserve">שר </w:t>
      </w:r>
      <w:r w:rsidR="00D95F22">
        <w:rPr>
          <w:rFonts w:cs="FrankRuehl" w:hint="cs"/>
          <w:sz w:val="22"/>
          <w:rtl/>
        </w:rPr>
        <w:t>הפנים</w:t>
      </w:r>
      <w:r w:rsidR="00D95F22">
        <w:rPr>
          <w:rFonts w:cs="FrankRuehl" w:hint="cs"/>
          <w:sz w:val="22"/>
          <w:rtl/>
        </w:rPr>
        <w:tab/>
        <w:t>שר הבינוי והשיכון</w:t>
      </w:r>
    </w:p>
    <w:p w14:paraId="04031666" w14:textId="77777777" w:rsidR="00FC4DCE" w:rsidRDefault="00FC4DCE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7F015A" w14:textId="77777777" w:rsidR="00E42675" w:rsidRDefault="00E42675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463994E" w14:textId="77777777" w:rsidR="005D7D19" w:rsidRDefault="005D7D1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BFD4DB5" w14:textId="77777777" w:rsidR="005D7D19" w:rsidRDefault="005D7D19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F9AE2B6" w14:textId="77777777" w:rsidR="005D7D19" w:rsidRDefault="005D7D19" w:rsidP="005D7D1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63F81E4E" w14:textId="77777777" w:rsidR="009C3187" w:rsidRPr="005D7D19" w:rsidRDefault="009C3187" w:rsidP="005D7D19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C3187" w:rsidRPr="005D7D19" w:rsidSect="00A227D9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748E1" w14:textId="77777777" w:rsidR="00E84E2A" w:rsidRDefault="00E84E2A">
      <w:r>
        <w:separator/>
      </w:r>
    </w:p>
  </w:endnote>
  <w:endnote w:type="continuationSeparator" w:id="0">
    <w:p w14:paraId="33315DE1" w14:textId="77777777" w:rsidR="00E84E2A" w:rsidRDefault="00E8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6BE0F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BC60702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2707D575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BE617" w14:textId="77777777" w:rsidR="00415244" w:rsidRDefault="00415244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D7D19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4AE6E07D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163EF6FA" w14:textId="77777777" w:rsidR="00415244" w:rsidRDefault="00415244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79EB">
      <w:rPr>
        <w:rFonts w:cs="TopType Jerushalmi"/>
        <w:noProof/>
        <w:color w:val="000000"/>
        <w:sz w:val="14"/>
        <w:szCs w:val="14"/>
      </w:rPr>
      <w:t>Z:\000-law\yael\2012\2012-12-13\tav\500_799.doc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D2A91" w14:textId="77777777" w:rsidR="00E84E2A" w:rsidRDefault="00E84E2A" w:rsidP="007C57A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2D91857" w14:textId="77777777" w:rsidR="00E84E2A" w:rsidRDefault="00E84E2A">
      <w:pPr>
        <w:spacing w:before="60"/>
        <w:ind w:right="1134"/>
      </w:pPr>
      <w:r>
        <w:separator/>
      </w:r>
    </w:p>
  </w:footnote>
  <w:footnote w:id="1">
    <w:p w14:paraId="649D3A83" w14:textId="77777777" w:rsidR="00EB576C" w:rsidRDefault="00415244" w:rsidP="00EB576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 w:rsidR="00D95F22">
        <w:rPr>
          <w:rFonts w:cs="FrankRuehl" w:hint="cs"/>
          <w:rtl/>
        </w:rPr>
        <w:t xml:space="preserve"> פורסם</w:t>
      </w:r>
      <w:r>
        <w:rPr>
          <w:rFonts w:cs="FrankRuehl" w:hint="cs"/>
          <w:rtl/>
        </w:rPr>
        <w:t xml:space="preserve"> </w:t>
      </w:r>
      <w:hyperlink r:id="rId1" w:history="1">
        <w:r w:rsidRPr="00EB576C">
          <w:rPr>
            <w:rStyle w:val="Hyperlink"/>
            <w:rFonts w:cs="FrankRuehl" w:hint="cs"/>
            <w:rtl/>
          </w:rPr>
          <w:t>ק"ת תשע</w:t>
        </w:r>
        <w:r w:rsidR="00521967" w:rsidRPr="00EB576C">
          <w:rPr>
            <w:rStyle w:val="Hyperlink"/>
            <w:rFonts w:cs="FrankRuehl" w:hint="cs"/>
            <w:rtl/>
          </w:rPr>
          <w:t>"</w:t>
        </w:r>
        <w:r w:rsidR="00EB5791" w:rsidRPr="00EB576C">
          <w:rPr>
            <w:rStyle w:val="Hyperlink"/>
            <w:rFonts w:cs="FrankRuehl" w:hint="cs"/>
            <w:rtl/>
          </w:rPr>
          <w:t>ד</w:t>
        </w:r>
        <w:r w:rsidR="00521967" w:rsidRPr="00EB576C">
          <w:rPr>
            <w:rStyle w:val="Hyperlink"/>
            <w:rFonts w:cs="FrankRuehl" w:hint="cs"/>
            <w:rtl/>
          </w:rPr>
          <w:t xml:space="preserve"> </w:t>
        </w:r>
        <w:r w:rsidRPr="00EB576C">
          <w:rPr>
            <w:rStyle w:val="Hyperlink"/>
            <w:rFonts w:cs="FrankRuehl" w:hint="cs"/>
            <w:rtl/>
          </w:rPr>
          <w:t xml:space="preserve">מס' </w:t>
        </w:r>
        <w:r w:rsidR="00E87577" w:rsidRPr="00EB576C">
          <w:rPr>
            <w:rStyle w:val="Hyperlink"/>
            <w:rFonts w:cs="FrankRuehl" w:hint="cs"/>
            <w:rtl/>
          </w:rPr>
          <w:t>7301</w:t>
        </w:r>
      </w:hyperlink>
      <w:r>
        <w:rPr>
          <w:rFonts w:cs="FrankRuehl" w:hint="cs"/>
          <w:rtl/>
        </w:rPr>
        <w:t xml:space="preserve"> מיום </w:t>
      </w:r>
      <w:r w:rsidR="00E87577">
        <w:rPr>
          <w:rFonts w:cs="FrankRuehl" w:hint="cs"/>
          <w:rtl/>
        </w:rPr>
        <w:t>4.11</w:t>
      </w:r>
      <w:r w:rsidR="00EB5791">
        <w:rPr>
          <w:rFonts w:cs="FrankRuehl" w:hint="cs"/>
          <w:rtl/>
        </w:rPr>
        <w:t>.2013</w:t>
      </w:r>
      <w:r>
        <w:rPr>
          <w:rFonts w:cs="FrankRuehl" w:hint="cs"/>
          <w:rtl/>
        </w:rPr>
        <w:t xml:space="preserve"> עמ' </w:t>
      </w:r>
      <w:r w:rsidR="00E87577">
        <w:rPr>
          <w:rFonts w:cs="FrankRuehl" w:hint="cs"/>
          <w:rtl/>
        </w:rPr>
        <w:t>18</w:t>
      </w:r>
      <w:r w:rsidR="00FC4DCE">
        <w:rPr>
          <w:rFonts w:cs="FrankRuehl" w:hint="cs"/>
          <w:rtl/>
        </w:rPr>
        <w:t>9</w:t>
      </w:r>
      <w:r>
        <w:rPr>
          <w:rFonts w:cs="FrankRuehl" w:hint="cs"/>
          <w:rtl/>
        </w:rPr>
        <w:t>.</w:t>
      </w:r>
    </w:p>
  </w:footnote>
  <w:footnote w:id="2">
    <w:p w14:paraId="7EDAA182" w14:textId="77777777" w:rsidR="00EA4128" w:rsidRDefault="00EA4128" w:rsidP="00FC4DCE">
      <w:pPr>
        <w:pStyle w:val="a5"/>
        <w:spacing w:before="72" w:line="240" w:lineRule="auto"/>
        <w:ind w:right="1134"/>
        <w:jc w:val="both"/>
        <w:rPr>
          <w:rFonts w:hint="cs"/>
        </w:rPr>
      </w:pPr>
      <w:r>
        <w:rPr>
          <w:rStyle w:val="a6"/>
        </w:rPr>
        <w:footnoteRef/>
      </w:r>
      <w:r w:rsidRPr="00EA4128">
        <w:rPr>
          <w:rFonts w:cs="FrankRuehl"/>
          <w:sz w:val="22"/>
          <w:szCs w:val="22"/>
          <w:rtl/>
        </w:rPr>
        <w:t xml:space="preserve"> </w:t>
      </w:r>
      <w:r w:rsidRPr="00EA4128">
        <w:rPr>
          <w:rFonts w:cs="FrankRuehl" w:hint="cs"/>
          <w:sz w:val="22"/>
          <w:szCs w:val="22"/>
          <w:rtl/>
        </w:rPr>
        <w:t xml:space="preserve">צו </w:t>
      </w:r>
      <w:r w:rsidR="00462EF5">
        <w:rPr>
          <w:rFonts w:cs="FrankRuehl" w:hint="cs"/>
          <w:sz w:val="22"/>
          <w:szCs w:val="22"/>
          <w:rtl/>
        </w:rPr>
        <w:t xml:space="preserve">התכנון והבנייה (הארכת תוקף הכרזה על מתחמים </w:t>
      </w:r>
      <w:r w:rsidR="00FC4DCE">
        <w:rPr>
          <w:rFonts w:cs="FrankRuehl" w:hint="cs"/>
          <w:sz w:val="22"/>
          <w:szCs w:val="22"/>
          <w:rtl/>
        </w:rPr>
        <w:t>להתחדשות עירונית</w:t>
      </w:r>
      <w:r w:rsidR="00C829DC">
        <w:rPr>
          <w:rFonts w:cs="FrankRuehl" w:hint="cs"/>
          <w:sz w:val="22"/>
          <w:szCs w:val="22"/>
          <w:rtl/>
        </w:rPr>
        <w:t>), תשע"</w:t>
      </w:r>
      <w:r w:rsidR="00FC4DCE">
        <w:rPr>
          <w:rFonts w:cs="FrankRuehl" w:hint="cs"/>
          <w:sz w:val="22"/>
          <w:szCs w:val="22"/>
          <w:rtl/>
        </w:rPr>
        <w:t>ב</w:t>
      </w:r>
      <w:r w:rsidR="00C829DC">
        <w:rPr>
          <w:rFonts w:cs="FrankRuehl" w:hint="cs"/>
          <w:sz w:val="22"/>
          <w:szCs w:val="22"/>
          <w:rtl/>
        </w:rPr>
        <w:t>-201</w:t>
      </w:r>
      <w:r w:rsidR="00FC4DCE">
        <w:rPr>
          <w:rFonts w:cs="FrankRuehl" w:hint="cs"/>
          <w:sz w:val="22"/>
          <w:szCs w:val="22"/>
          <w:rtl/>
        </w:rPr>
        <w:t>2</w:t>
      </w:r>
      <w:r w:rsidR="00C829DC">
        <w:rPr>
          <w:rFonts w:cs="FrankRuehl" w:hint="cs"/>
          <w:sz w:val="22"/>
          <w:szCs w:val="22"/>
          <w:rtl/>
        </w:rPr>
        <w:t xml:space="preserve">: </w:t>
      </w:r>
      <w:hyperlink r:id="rId2" w:history="1">
        <w:r w:rsidR="00C829DC" w:rsidRPr="00C829DC">
          <w:rPr>
            <w:rStyle w:val="Hyperlink"/>
            <w:rFonts w:cs="FrankRuehl" w:hint="cs"/>
            <w:sz w:val="22"/>
            <w:szCs w:val="22"/>
            <w:rtl/>
          </w:rPr>
          <w:t>ק"ת תשע"</w:t>
        </w:r>
        <w:r w:rsidR="00FC4DCE">
          <w:rPr>
            <w:rStyle w:val="Hyperlink"/>
            <w:rFonts w:cs="FrankRuehl" w:hint="cs"/>
            <w:sz w:val="22"/>
            <w:szCs w:val="22"/>
            <w:rtl/>
          </w:rPr>
          <w:t>ב</w:t>
        </w:r>
        <w:r w:rsidR="00C829DC" w:rsidRPr="00C829DC">
          <w:rPr>
            <w:rStyle w:val="Hyperlink"/>
            <w:rFonts w:cs="FrankRuehl" w:hint="cs"/>
            <w:sz w:val="22"/>
            <w:szCs w:val="22"/>
            <w:rtl/>
          </w:rPr>
          <w:t xml:space="preserve"> מס' 7</w:t>
        </w:r>
        <w:r w:rsidR="00FC4DCE">
          <w:rPr>
            <w:rStyle w:val="Hyperlink"/>
            <w:rFonts w:cs="FrankRuehl" w:hint="cs"/>
            <w:sz w:val="22"/>
            <w:szCs w:val="22"/>
            <w:rtl/>
          </w:rPr>
          <w:t>113</w:t>
        </w:r>
      </w:hyperlink>
      <w:r w:rsidR="00C829DC">
        <w:rPr>
          <w:rFonts w:cs="FrankRuehl" w:hint="cs"/>
          <w:sz w:val="22"/>
          <w:szCs w:val="22"/>
          <w:rtl/>
        </w:rPr>
        <w:t xml:space="preserve"> מיום </w:t>
      </w:r>
      <w:r w:rsidR="00FC4DCE">
        <w:rPr>
          <w:rFonts w:cs="FrankRuehl" w:hint="cs"/>
          <w:sz w:val="22"/>
          <w:szCs w:val="22"/>
          <w:rtl/>
        </w:rPr>
        <w:t>29.4.2012</w:t>
      </w:r>
      <w:r w:rsidR="00C829DC">
        <w:rPr>
          <w:rFonts w:cs="FrankRuehl" w:hint="cs"/>
          <w:sz w:val="22"/>
          <w:szCs w:val="22"/>
          <w:rtl/>
        </w:rPr>
        <w:t xml:space="preserve"> עמ' </w:t>
      </w:r>
      <w:r w:rsidR="00FC4DCE">
        <w:rPr>
          <w:rFonts w:cs="FrankRuehl" w:hint="cs"/>
          <w:sz w:val="22"/>
          <w:szCs w:val="22"/>
          <w:rtl/>
        </w:rPr>
        <w:t>1075</w:t>
      </w:r>
      <w:r w:rsidRPr="00EA4128">
        <w:rPr>
          <w:rFonts w:cs="FrankRuehl" w:hint="cs"/>
          <w:sz w:val="22"/>
          <w:szCs w:val="22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77C8F" w14:textId="77777777" w:rsidR="00415244" w:rsidRDefault="00415244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3C425C7B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8E2AF0D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10611" w14:textId="77777777" w:rsidR="00415244" w:rsidRDefault="00D95F22" w:rsidP="00FC4DCE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צו התכנון והבנ</w:t>
    </w:r>
    <w:r w:rsidR="00D867A1">
      <w:rPr>
        <w:rFonts w:hAnsi="FrankRuehl" w:cs="FrankRuehl" w:hint="cs"/>
        <w:color w:val="000000"/>
        <w:sz w:val="28"/>
        <w:szCs w:val="28"/>
        <w:rtl/>
      </w:rPr>
      <w:t>י</w:t>
    </w:r>
    <w:r>
      <w:rPr>
        <w:rFonts w:hAnsi="FrankRuehl" w:cs="FrankRuehl" w:hint="cs"/>
        <w:color w:val="000000"/>
        <w:sz w:val="28"/>
        <w:szCs w:val="28"/>
        <w:rtl/>
      </w:rPr>
      <w:t>יה (פטור מהיטל השבחה) (הוראת שעה</w:t>
    </w:r>
    <w:r w:rsidR="00415244">
      <w:rPr>
        <w:rFonts w:hAnsi="FrankRuehl" w:cs="FrankRuehl" w:hint="cs"/>
        <w:color w:val="000000"/>
        <w:sz w:val="28"/>
        <w:szCs w:val="28"/>
        <w:rtl/>
      </w:rPr>
      <w:t>)</w:t>
    </w:r>
    <w:r w:rsidR="00E87577">
      <w:rPr>
        <w:rFonts w:hAnsi="FrankRuehl" w:cs="FrankRuehl" w:hint="cs"/>
        <w:color w:val="000000"/>
        <w:sz w:val="28"/>
        <w:szCs w:val="28"/>
        <w:rtl/>
      </w:rPr>
      <w:t xml:space="preserve"> (מס' </w:t>
    </w:r>
    <w:r w:rsidR="00FC4DCE">
      <w:rPr>
        <w:rFonts w:hAnsi="FrankRuehl" w:cs="FrankRuehl" w:hint="cs"/>
        <w:color w:val="000000"/>
        <w:sz w:val="28"/>
        <w:szCs w:val="28"/>
        <w:rtl/>
      </w:rPr>
      <w:t>3</w:t>
    </w:r>
    <w:r w:rsidR="00E87577">
      <w:rPr>
        <w:rFonts w:hAnsi="FrankRuehl" w:cs="FrankRuehl" w:hint="cs"/>
        <w:color w:val="000000"/>
        <w:sz w:val="28"/>
        <w:szCs w:val="28"/>
        <w:rtl/>
      </w:rPr>
      <w:t>)</w:t>
    </w:r>
    <w:r w:rsidR="00415244"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D867A1">
      <w:rPr>
        <w:rFonts w:hAnsi="FrankRuehl" w:cs="FrankRuehl" w:hint="cs"/>
        <w:color w:val="000000"/>
        <w:sz w:val="28"/>
        <w:szCs w:val="28"/>
        <w:rtl/>
      </w:rPr>
      <w:t>תשע"</w:t>
    </w:r>
    <w:r w:rsidR="00EB5791">
      <w:rPr>
        <w:rFonts w:hAnsi="FrankRuehl" w:cs="FrankRuehl" w:hint="cs"/>
        <w:color w:val="000000"/>
        <w:sz w:val="28"/>
        <w:szCs w:val="28"/>
        <w:rtl/>
      </w:rPr>
      <w:t>ד-2013</w:t>
    </w:r>
  </w:p>
  <w:p w14:paraId="5152936A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7EE3028" w14:textId="77777777" w:rsidR="00415244" w:rsidRDefault="00415244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8377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0059C"/>
    <w:rsid w:val="00005864"/>
    <w:rsid w:val="000100B8"/>
    <w:rsid w:val="000146A6"/>
    <w:rsid w:val="000200C1"/>
    <w:rsid w:val="000201C8"/>
    <w:rsid w:val="00033964"/>
    <w:rsid w:val="000366D4"/>
    <w:rsid w:val="000377F5"/>
    <w:rsid w:val="00046B7F"/>
    <w:rsid w:val="000602A7"/>
    <w:rsid w:val="000619D9"/>
    <w:rsid w:val="00062C31"/>
    <w:rsid w:val="00064468"/>
    <w:rsid w:val="00064B0F"/>
    <w:rsid w:val="00064C99"/>
    <w:rsid w:val="00072FB8"/>
    <w:rsid w:val="0007444C"/>
    <w:rsid w:val="00077801"/>
    <w:rsid w:val="00083670"/>
    <w:rsid w:val="00084C95"/>
    <w:rsid w:val="000918FB"/>
    <w:rsid w:val="00091B8B"/>
    <w:rsid w:val="000924D1"/>
    <w:rsid w:val="000948CA"/>
    <w:rsid w:val="00094DD9"/>
    <w:rsid w:val="000B5A05"/>
    <w:rsid w:val="000B65C0"/>
    <w:rsid w:val="000C145C"/>
    <w:rsid w:val="000C2548"/>
    <w:rsid w:val="000C7AA4"/>
    <w:rsid w:val="000D1348"/>
    <w:rsid w:val="000D3E1A"/>
    <w:rsid w:val="000D7097"/>
    <w:rsid w:val="000D7FBE"/>
    <w:rsid w:val="000E1F7F"/>
    <w:rsid w:val="000E25AA"/>
    <w:rsid w:val="000E2939"/>
    <w:rsid w:val="000E3FCB"/>
    <w:rsid w:val="000E4FDD"/>
    <w:rsid w:val="000E54C3"/>
    <w:rsid w:val="000E6E54"/>
    <w:rsid w:val="000E7C2E"/>
    <w:rsid w:val="000F30BD"/>
    <w:rsid w:val="001001D1"/>
    <w:rsid w:val="00102B63"/>
    <w:rsid w:val="0010753D"/>
    <w:rsid w:val="00112119"/>
    <w:rsid w:val="001150B9"/>
    <w:rsid w:val="00122C2E"/>
    <w:rsid w:val="0012508E"/>
    <w:rsid w:val="0012665B"/>
    <w:rsid w:val="001275F0"/>
    <w:rsid w:val="001302F8"/>
    <w:rsid w:val="00131FDC"/>
    <w:rsid w:val="00133E83"/>
    <w:rsid w:val="0013416F"/>
    <w:rsid w:val="001347C9"/>
    <w:rsid w:val="001370C7"/>
    <w:rsid w:val="00142298"/>
    <w:rsid w:val="00152E1F"/>
    <w:rsid w:val="001615C2"/>
    <w:rsid w:val="00170251"/>
    <w:rsid w:val="00181980"/>
    <w:rsid w:val="00186445"/>
    <w:rsid w:val="001931BA"/>
    <w:rsid w:val="001970D7"/>
    <w:rsid w:val="001A1487"/>
    <w:rsid w:val="001A156D"/>
    <w:rsid w:val="001A2EA1"/>
    <w:rsid w:val="001A6665"/>
    <w:rsid w:val="001B05AB"/>
    <w:rsid w:val="001C40C8"/>
    <w:rsid w:val="001C4265"/>
    <w:rsid w:val="001C4AB6"/>
    <w:rsid w:val="001C5FC3"/>
    <w:rsid w:val="001C6C13"/>
    <w:rsid w:val="001C7316"/>
    <w:rsid w:val="001D6CC8"/>
    <w:rsid w:val="001D6F4C"/>
    <w:rsid w:val="001D758F"/>
    <w:rsid w:val="001E0FA8"/>
    <w:rsid w:val="001E196A"/>
    <w:rsid w:val="001F21FF"/>
    <w:rsid w:val="00201476"/>
    <w:rsid w:val="002216B6"/>
    <w:rsid w:val="0022178D"/>
    <w:rsid w:val="00224535"/>
    <w:rsid w:val="00224BA9"/>
    <w:rsid w:val="00226268"/>
    <w:rsid w:val="00245228"/>
    <w:rsid w:val="00245832"/>
    <w:rsid w:val="002538D4"/>
    <w:rsid w:val="0025390B"/>
    <w:rsid w:val="00254C7E"/>
    <w:rsid w:val="002611C1"/>
    <w:rsid w:val="0026683A"/>
    <w:rsid w:val="00273A1A"/>
    <w:rsid w:val="00273C7A"/>
    <w:rsid w:val="00275506"/>
    <w:rsid w:val="002824D6"/>
    <w:rsid w:val="002A1E13"/>
    <w:rsid w:val="002A38D8"/>
    <w:rsid w:val="002B62C1"/>
    <w:rsid w:val="002C4262"/>
    <w:rsid w:val="002C7187"/>
    <w:rsid w:val="002D20F5"/>
    <w:rsid w:val="002E3E60"/>
    <w:rsid w:val="002E473B"/>
    <w:rsid w:val="002E78DC"/>
    <w:rsid w:val="002F76E8"/>
    <w:rsid w:val="0030618C"/>
    <w:rsid w:val="00307457"/>
    <w:rsid w:val="00320BA8"/>
    <w:rsid w:val="0032212B"/>
    <w:rsid w:val="003222D9"/>
    <w:rsid w:val="00322B03"/>
    <w:rsid w:val="003304A8"/>
    <w:rsid w:val="0033109A"/>
    <w:rsid w:val="00333313"/>
    <w:rsid w:val="0033559B"/>
    <w:rsid w:val="00342C78"/>
    <w:rsid w:val="00343C9A"/>
    <w:rsid w:val="003528CA"/>
    <w:rsid w:val="0035557A"/>
    <w:rsid w:val="0036193A"/>
    <w:rsid w:val="00371ACE"/>
    <w:rsid w:val="00373ACB"/>
    <w:rsid w:val="0037705A"/>
    <w:rsid w:val="00395CE1"/>
    <w:rsid w:val="003A23D8"/>
    <w:rsid w:val="003A46B0"/>
    <w:rsid w:val="003A589C"/>
    <w:rsid w:val="003B4C6D"/>
    <w:rsid w:val="003C08EF"/>
    <w:rsid w:val="003C3F19"/>
    <w:rsid w:val="003C6DF3"/>
    <w:rsid w:val="003D5BB0"/>
    <w:rsid w:val="003D600F"/>
    <w:rsid w:val="003E10E3"/>
    <w:rsid w:val="003E17A4"/>
    <w:rsid w:val="003E27F4"/>
    <w:rsid w:val="003E41DA"/>
    <w:rsid w:val="003E74D6"/>
    <w:rsid w:val="003E7AA0"/>
    <w:rsid w:val="003F43BD"/>
    <w:rsid w:val="003F5C71"/>
    <w:rsid w:val="003F61D2"/>
    <w:rsid w:val="004000EC"/>
    <w:rsid w:val="0040021A"/>
    <w:rsid w:val="004112F3"/>
    <w:rsid w:val="004120DC"/>
    <w:rsid w:val="00413F14"/>
    <w:rsid w:val="00415244"/>
    <w:rsid w:val="00415EE9"/>
    <w:rsid w:val="0041737A"/>
    <w:rsid w:val="00417E45"/>
    <w:rsid w:val="004204BE"/>
    <w:rsid w:val="00421409"/>
    <w:rsid w:val="00423811"/>
    <w:rsid w:val="0042625F"/>
    <w:rsid w:val="00431CAA"/>
    <w:rsid w:val="00432406"/>
    <w:rsid w:val="004340B4"/>
    <w:rsid w:val="004355B4"/>
    <w:rsid w:val="0044105C"/>
    <w:rsid w:val="0044263A"/>
    <w:rsid w:val="00445514"/>
    <w:rsid w:val="00446CD9"/>
    <w:rsid w:val="0045078F"/>
    <w:rsid w:val="00454064"/>
    <w:rsid w:val="00454F98"/>
    <w:rsid w:val="004555FD"/>
    <w:rsid w:val="00460066"/>
    <w:rsid w:val="00460500"/>
    <w:rsid w:val="00462EF5"/>
    <w:rsid w:val="0047103A"/>
    <w:rsid w:val="00471679"/>
    <w:rsid w:val="00475BF0"/>
    <w:rsid w:val="00484974"/>
    <w:rsid w:val="00487519"/>
    <w:rsid w:val="00490D4B"/>
    <w:rsid w:val="0049129C"/>
    <w:rsid w:val="00496121"/>
    <w:rsid w:val="0049687C"/>
    <w:rsid w:val="004A16C0"/>
    <w:rsid w:val="004A29C6"/>
    <w:rsid w:val="004A2A23"/>
    <w:rsid w:val="004A2FF7"/>
    <w:rsid w:val="004A5BA6"/>
    <w:rsid w:val="004A64CC"/>
    <w:rsid w:val="004A7635"/>
    <w:rsid w:val="004B381A"/>
    <w:rsid w:val="004B615C"/>
    <w:rsid w:val="004C1D5F"/>
    <w:rsid w:val="004C3A96"/>
    <w:rsid w:val="004C3C1F"/>
    <w:rsid w:val="004C4E16"/>
    <w:rsid w:val="004C6140"/>
    <w:rsid w:val="004C6EB2"/>
    <w:rsid w:val="004D539F"/>
    <w:rsid w:val="004D54DD"/>
    <w:rsid w:val="004D6C06"/>
    <w:rsid w:val="004E1008"/>
    <w:rsid w:val="004E4AAE"/>
    <w:rsid w:val="004F31AA"/>
    <w:rsid w:val="004F32A4"/>
    <w:rsid w:val="004F3482"/>
    <w:rsid w:val="004F4329"/>
    <w:rsid w:val="004F43F6"/>
    <w:rsid w:val="004F512C"/>
    <w:rsid w:val="004F57E6"/>
    <w:rsid w:val="0052178D"/>
    <w:rsid w:val="00521967"/>
    <w:rsid w:val="00521DE5"/>
    <w:rsid w:val="005250CD"/>
    <w:rsid w:val="0053081B"/>
    <w:rsid w:val="0053472E"/>
    <w:rsid w:val="005416A0"/>
    <w:rsid w:val="005453FC"/>
    <w:rsid w:val="00553571"/>
    <w:rsid w:val="00557BB8"/>
    <w:rsid w:val="005607E7"/>
    <w:rsid w:val="00562D3A"/>
    <w:rsid w:val="005636AB"/>
    <w:rsid w:val="00574BC7"/>
    <w:rsid w:val="00576752"/>
    <w:rsid w:val="00581F51"/>
    <w:rsid w:val="00583639"/>
    <w:rsid w:val="00593F5E"/>
    <w:rsid w:val="005A4835"/>
    <w:rsid w:val="005A6724"/>
    <w:rsid w:val="005B0D90"/>
    <w:rsid w:val="005B30BE"/>
    <w:rsid w:val="005C13E4"/>
    <w:rsid w:val="005C17DB"/>
    <w:rsid w:val="005C2F28"/>
    <w:rsid w:val="005C6342"/>
    <w:rsid w:val="005D404E"/>
    <w:rsid w:val="005D6BA5"/>
    <w:rsid w:val="005D72E7"/>
    <w:rsid w:val="005D7D19"/>
    <w:rsid w:val="005E00B5"/>
    <w:rsid w:val="005E3B35"/>
    <w:rsid w:val="005E616B"/>
    <w:rsid w:val="005E67B1"/>
    <w:rsid w:val="005E7167"/>
    <w:rsid w:val="005F18E0"/>
    <w:rsid w:val="006054F3"/>
    <w:rsid w:val="00605671"/>
    <w:rsid w:val="00614CD9"/>
    <w:rsid w:val="0061568A"/>
    <w:rsid w:val="00617252"/>
    <w:rsid w:val="0061779C"/>
    <w:rsid w:val="0062009E"/>
    <w:rsid w:val="006232B4"/>
    <w:rsid w:val="00630F20"/>
    <w:rsid w:val="00634371"/>
    <w:rsid w:val="00635CB5"/>
    <w:rsid w:val="00640B97"/>
    <w:rsid w:val="00642120"/>
    <w:rsid w:val="00650A46"/>
    <w:rsid w:val="0065191D"/>
    <w:rsid w:val="006618EF"/>
    <w:rsid w:val="00672071"/>
    <w:rsid w:val="006741BB"/>
    <w:rsid w:val="00675948"/>
    <w:rsid w:val="00677514"/>
    <w:rsid w:val="00680706"/>
    <w:rsid w:val="006811F8"/>
    <w:rsid w:val="00683FEC"/>
    <w:rsid w:val="00684080"/>
    <w:rsid w:val="006849D8"/>
    <w:rsid w:val="00687666"/>
    <w:rsid w:val="00697EB2"/>
    <w:rsid w:val="006A0AF5"/>
    <w:rsid w:val="006A4259"/>
    <w:rsid w:val="006A6733"/>
    <w:rsid w:val="006A75B5"/>
    <w:rsid w:val="006A7DDF"/>
    <w:rsid w:val="006B0BB4"/>
    <w:rsid w:val="006B0DB6"/>
    <w:rsid w:val="006B37C4"/>
    <w:rsid w:val="006B4FC9"/>
    <w:rsid w:val="006B5390"/>
    <w:rsid w:val="006C17D8"/>
    <w:rsid w:val="006C3F12"/>
    <w:rsid w:val="006C6CD2"/>
    <w:rsid w:val="006C7167"/>
    <w:rsid w:val="006C7C6F"/>
    <w:rsid w:val="006D2D36"/>
    <w:rsid w:val="006E1EDA"/>
    <w:rsid w:val="006E2FDE"/>
    <w:rsid w:val="006E7627"/>
    <w:rsid w:val="006F2A68"/>
    <w:rsid w:val="006F787A"/>
    <w:rsid w:val="006F7A08"/>
    <w:rsid w:val="00700FF2"/>
    <w:rsid w:val="00703105"/>
    <w:rsid w:val="007035D6"/>
    <w:rsid w:val="0070545A"/>
    <w:rsid w:val="00715FE6"/>
    <w:rsid w:val="00716074"/>
    <w:rsid w:val="00716DEE"/>
    <w:rsid w:val="00720039"/>
    <w:rsid w:val="00722104"/>
    <w:rsid w:val="00722F74"/>
    <w:rsid w:val="00726659"/>
    <w:rsid w:val="007270FE"/>
    <w:rsid w:val="00727F22"/>
    <w:rsid w:val="0073144C"/>
    <w:rsid w:val="007373EA"/>
    <w:rsid w:val="00743F56"/>
    <w:rsid w:val="00746DE0"/>
    <w:rsid w:val="00751097"/>
    <w:rsid w:val="00752BF0"/>
    <w:rsid w:val="007550E1"/>
    <w:rsid w:val="00757461"/>
    <w:rsid w:val="00757602"/>
    <w:rsid w:val="0076254E"/>
    <w:rsid w:val="00765B73"/>
    <w:rsid w:val="0076748E"/>
    <w:rsid w:val="00772CD8"/>
    <w:rsid w:val="0078071F"/>
    <w:rsid w:val="00782DC3"/>
    <w:rsid w:val="00785BE6"/>
    <w:rsid w:val="00790C75"/>
    <w:rsid w:val="00790D9E"/>
    <w:rsid w:val="0079279C"/>
    <w:rsid w:val="007A1FF2"/>
    <w:rsid w:val="007A3993"/>
    <w:rsid w:val="007A412F"/>
    <w:rsid w:val="007A5682"/>
    <w:rsid w:val="007A74CA"/>
    <w:rsid w:val="007B6045"/>
    <w:rsid w:val="007B6E20"/>
    <w:rsid w:val="007B7B5B"/>
    <w:rsid w:val="007C0430"/>
    <w:rsid w:val="007C0B21"/>
    <w:rsid w:val="007C1804"/>
    <w:rsid w:val="007C57AA"/>
    <w:rsid w:val="007D32F5"/>
    <w:rsid w:val="007D4EE6"/>
    <w:rsid w:val="007D726F"/>
    <w:rsid w:val="007D73DF"/>
    <w:rsid w:val="007F0616"/>
    <w:rsid w:val="00800F22"/>
    <w:rsid w:val="008035CC"/>
    <w:rsid w:val="00810454"/>
    <w:rsid w:val="00810700"/>
    <w:rsid w:val="00810C8E"/>
    <w:rsid w:val="00815693"/>
    <w:rsid w:val="008159FF"/>
    <w:rsid w:val="008162C9"/>
    <w:rsid w:val="008301CC"/>
    <w:rsid w:val="008314E8"/>
    <w:rsid w:val="0083592B"/>
    <w:rsid w:val="0084017A"/>
    <w:rsid w:val="00841A08"/>
    <w:rsid w:val="008502EE"/>
    <w:rsid w:val="00852A6C"/>
    <w:rsid w:val="0085655A"/>
    <w:rsid w:val="0086107A"/>
    <w:rsid w:val="0087771D"/>
    <w:rsid w:val="008850E3"/>
    <w:rsid w:val="00894C01"/>
    <w:rsid w:val="008958F0"/>
    <w:rsid w:val="00895B96"/>
    <w:rsid w:val="0089789F"/>
    <w:rsid w:val="0089792E"/>
    <w:rsid w:val="008A2722"/>
    <w:rsid w:val="008A28E9"/>
    <w:rsid w:val="008A638E"/>
    <w:rsid w:val="008C0451"/>
    <w:rsid w:val="008C2526"/>
    <w:rsid w:val="008C5B96"/>
    <w:rsid w:val="008C7D26"/>
    <w:rsid w:val="008D03EF"/>
    <w:rsid w:val="008D2117"/>
    <w:rsid w:val="008E0EC9"/>
    <w:rsid w:val="008E3201"/>
    <w:rsid w:val="008E367E"/>
    <w:rsid w:val="008E36CB"/>
    <w:rsid w:val="008E73A8"/>
    <w:rsid w:val="008E7FBC"/>
    <w:rsid w:val="00901385"/>
    <w:rsid w:val="00902390"/>
    <w:rsid w:val="00904CD2"/>
    <w:rsid w:val="00904EEA"/>
    <w:rsid w:val="00906581"/>
    <w:rsid w:val="00911822"/>
    <w:rsid w:val="00921766"/>
    <w:rsid w:val="00923E55"/>
    <w:rsid w:val="0092503F"/>
    <w:rsid w:val="00927A15"/>
    <w:rsid w:val="00930066"/>
    <w:rsid w:val="00934563"/>
    <w:rsid w:val="00937C57"/>
    <w:rsid w:val="00940601"/>
    <w:rsid w:val="00943E80"/>
    <w:rsid w:val="00947DE7"/>
    <w:rsid w:val="00952C63"/>
    <w:rsid w:val="00954A48"/>
    <w:rsid w:val="00955412"/>
    <w:rsid w:val="00955564"/>
    <w:rsid w:val="00955AC8"/>
    <w:rsid w:val="009572D1"/>
    <w:rsid w:val="00961D71"/>
    <w:rsid w:val="0096403F"/>
    <w:rsid w:val="00974306"/>
    <w:rsid w:val="0099490C"/>
    <w:rsid w:val="009C2916"/>
    <w:rsid w:val="009C2B9E"/>
    <w:rsid w:val="009C3187"/>
    <w:rsid w:val="009C519A"/>
    <w:rsid w:val="009C5B73"/>
    <w:rsid w:val="009D2D28"/>
    <w:rsid w:val="009D50CE"/>
    <w:rsid w:val="009E2AAC"/>
    <w:rsid w:val="009E7FC2"/>
    <w:rsid w:val="009F01BD"/>
    <w:rsid w:val="009F2FC1"/>
    <w:rsid w:val="009F35FF"/>
    <w:rsid w:val="009F61AB"/>
    <w:rsid w:val="009F6A72"/>
    <w:rsid w:val="00A0666F"/>
    <w:rsid w:val="00A07425"/>
    <w:rsid w:val="00A10AE2"/>
    <w:rsid w:val="00A10FBC"/>
    <w:rsid w:val="00A11C70"/>
    <w:rsid w:val="00A141C3"/>
    <w:rsid w:val="00A14F70"/>
    <w:rsid w:val="00A17F89"/>
    <w:rsid w:val="00A22051"/>
    <w:rsid w:val="00A227D9"/>
    <w:rsid w:val="00A308E0"/>
    <w:rsid w:val="00A37976"/>
    <w:rsid w:val="00A42C95"/>
    <w:rsid w:val="00A53F3B"/>
    <w:rsid w:val="00A658E8"/>
    <w:rsid w:val="00A6616F"/>
    <w:rsid w:val="00A66F20"/>
    <w:rsid w:val="00A701D9"/>
    <w:rsid w:val="00A71DAC"/>
    <w:rsid w:val="00A71F31"/>
    <w:rsid w:val="00A730D6"/>
    <w:rsid w:val="00A77084"/>
    <w:rsid w:val="00A7746E"/>
    <w:rsid w:val="00A82368"/>
    <w:rsid w:val="00A87C1B"/>
    <w:rsid w:val="00A9239A"/>
    <w:rsid w:val="00A93848"/>
    <w:rsid w:val="00AA06AC"/>
    <w:rsid w:val="00AA604D"/>
    <w:rsid w:val="00AB116A"/>
    <w:rsid w:val="00AB3458"/>
    <w:rsid w:val="00AB7AA7"/>
    <w:rsid w:val="00AB7FCA"/>
    <w:rsid w:val="00AC24C7"/>
    <w:rsid w:val="00AC447F"/>
    <w:rsid w:val="00AC5875"/>
    <w:rsid w:val="00AC6EF5"/>
    <w:rsid w:val="00AC7B1B"/>
    <w:rsid w:val="00AD5076"/>
    <w:rsid w:val="00AE4A4F"/>
    <w:rsid w:val="00AF36BF"/>
    <w:rsid w:val="00B005C1"/>
    <w:rsid w:val="00B0106C"/>
    <w:rsid w:val="00B066BC"/>
    <w:rsid w:val="00B12F53"/>
    <w:rsid w:val="00B173CC"/>
    <w:rsid w:val="00B17AF7"/>
    <w:rsid w:val="00B218F8"/>
    <w:rsid w:val="00B255CC"/>
    <w:rsid w:val="00B273CF"/>
    <w:rsid w:val="00B36314"/>
    <w:rsid w:val="00B459E4"/>
    <w:rsid w:val="00B620DE"/>
    <w:rsid w:val="00B62BCF"/>
    <w:rsid w:val="00B73BAE"/>
    <w:rsid w:val="00B770FF"/>
    <w:rsid w:val="00B8400A"/>
    <w:rsid w:val="00B84C6D"/>
    <w:rsid w:val="00B870A0"/>
    <w:rsid w:val="00B87DA4"/>
    <w:rsid w:val="00B92282"/>
    <w:rsid w:val="00BA62F1"/>
    <w:rsid w:val="00BB2A40"/>
    <w:rsid w:val="00BB6FFF"/>
    <w:rsid w:val="00BC2E38"/>
    <w:rsid w:val="00BC636B"/>
    <w:rsid w:val="00BC76FB"/>
    <w:rsid w:val="00BD0B5B"/>
    <w:rsid w:val="00BD1625"/>
    <w:rsid w:val="00BD51F7"/>
    <w:rsid w:val="00BD57BF"/>
    <w:rsid w:val="00BE03B7"/>
    <w:rsid w:val="00BE37D5"/>
    <w:rsid w:val="00BF0887"/>
    <w:rsid w:val="00BF1507"/>
    <w:rsid w:val="00BF233D"/>
    <w:rsid w:val="00BF580C"/>
    <w:rsid w:val="00BF6122"/>
    <w:rsid w:val="00BF78AB"/>
    <w:rsid w:val="00BF7CD7"/>
    <w:rsid w:val="00C0279E"/>
    <w:rsid w:val="00C04093"/>
    <w:rsid w:val="00C04B09"/>
    <w:rsid w:val="00C0712A"/>
    <w:rsid w:val="00C07231"/>
    <w:rsid w:val="00C12200"/>
    <w:rsid w:val="00C14B1A"/>
    <w:rsid w:val="00C14DD4"/>
    <w:rsid w:val="00C17A30"/>
    <w:rsid w:val="00C246A6"/>
    <w:rsid w:val="00C3406E"/>
    <w:rsid w:val="00C34AA6"/>
    <w:rsid w:val="00C47162"/>
    <w:rsid w:val="00C507B6"/>
    <w:rsid w:val="00C53230"/>
    <w:rsid w:val="00C54AB4"/>
    <w:rsid w:val="00C55FF6"/>
    <w:rsid w:val="00C6067A"/>
    <w:rsid w:val="00C62685"/>
    <w:rsid w:val="00C62865"/>
    <w:rsid w:val="00C64D02"/>
    <w:rsid w:val="00C71044"/>
    <w:rsid w:val="00C71F87"/>
    <w:rsid w:val="00C829DC"/>
    <w:rsid w:val="00C85F20"/>
    <w:rsid w:val="00C90BBE"/>
    <w:rsid w:val="00C9259B"/>
    <w:rsid w:val="00C92AFF"/>
    <w:rsid w:val="00C96BD2"/>
    <w:rsid w:val="00CA174A"/>
    <w:rsid w:val="00CA212F"/>
    <w:rsid w:val="00CA4292"/>
    <w:rsid w:val="00CB0CE1"/>
    <w:rsid w:val="00CB494E"/>
    <w:rsid w:val="00CC0B84"/>
    <w:rsid w:val="00CC2D58"/>
    <w:rsid w:val="00CC2E3C"/>
    <w:rsid w:val="00CC51BE"/>
    <w:rsid w:val="00CC7FEC"/>
    <w:rsid w:val="00CD1C6B"/>
    <w:rsid w:val="00CD6719"/>
    <w:rsid w:val="00CD6F99"/>
    <w:rsid w:val="00CE1D30"/>
    <w:rsid w:val="00CE1F5F"/>
    <w:rsid w:val="00CE64CC"/>
    <w:rsid w:val="00CF4B69"/>
    <w:rsid w:val="00CF79EB"/>
    <w:rsid w:val="00D10BBD"/>
    <w:rsid w:val="00D11E24"/>
    <w:rsid w:val="00D13F96"/>
    <w:rsid w:val="00D16977"/>
    <w:rsid w:val="00D21193"/>
    <w:rsid w:val="00D22FCB"/>
    <w:rsid w:val="00D2317F"/>
    <w:rsid w:val="00D2420C"/>
    <w:rsid w:val="00D258FB"/>
    <w:rsid w:val="00D25D5C"/>
    <w:rsid w:val="00D26AA4"/>
    <w:rsid w:val="00D3243E"/>
    <w:rsid w:val="00D32591"/>
    <w:rsid w:val="00D33D4D"/>
    <w:rsid w:val="00D4012B"/>
    <w:rsid w:val="00D4088D"/>
    <w:rsid w:val="00D43D50"/>
    <w:rsid w:val="00D50C5F"/>
    <w:rsid w:val="00D5121D"/>
    <w:rsid w:val="00D55EBB"/>
    <w:rsid w:val="00D5641C"/>
    <w:rsid w:val="00D56430"/>
    <w:rsid w:val="00D6337B"/>
    <w:rsid w:val="00D65098"/>
    <w:rsid w:val="00D674E0"/>
    <w:rsid w:val="00D714B8"/>
    <w:rsid w:val="00D7540C"/>
    <w:rsid w:val="00D867A1"/>
    <w:rsid w:val="00D909F6"/>
    <w:rsid w:val="00D91151"/>
    <w:rsid w:val="00D95F22"/>
    <w:rsid w:val="00DA1151"/>
    <w:rsid w:val="00DA1B2B"/>
    <w:rsid w:val="00DB2F3B"/>
    <w:rsid w:val="00DB7031"/>
    <w:rsid w:val="00DC4F86"/>
    <w:rsid w:val="00DD4EE1"/>
    <w:rsid w:val="00DD6D56"/>
    <w:rsid w:val="00DF0302"/>
    <w:rsid w:val="00DF1462"/>
    <w:rsid w:val="00DF2216"/>
    <w:rsid w:val="00DF70B1"/>
    <w:rsid w:val="00DF712A"/>
    <w:rsid w:val="00E06B57"/>
    <w:rsid w:val="00E14861"/>
    <w:rsid w:val="00E158EA"/>
    <w:rsid w:val="00E2758D"/>
    <w:rsid w:val="00E42675"/>
    <w:rsid w:val="00E4409A"/>
    <w:rsid w:val="00E44F20"/>
    <w:rsid w:val="00E52872"/>
    <w:rsid w:val="00E5473A"/>
    <w:rsid w:val="00E61DBD"/>
    <w:rsid w:val="00E64D00"/>
    <w:rsid w:val="00E6593F"/>
    <w:rsid w:val="00E703DD"/>
    <w:rsid w:val="00E71BEA"/>
    <w:rsid w:val="00E726F2"/>
    <w:rsid w:val="00E72D0F"/>
    <w:rsid w:val="00E73874"/>
    <w:rsid w:val="00E7431C"/>
    <w:rsid w:val="00E81B00"/>
    <w:rsid w:val="00E84E2A"/>
    <w:rsid w:val="00E87577"/>
    <w:rsid w:val="00E93617"/>
    <w:rsid w:val="00E9389D"/>
    <w:rsid w:val="00E967BF"/>
    <w:rsid w:val="00EA4128"/>
    <w:rsid w:val="00EB059B"/>
    <w:rsid w:val="00EB2FD0"/>
    <w:rsid w:val="00EB4559"/>
    <w:rsid w:val="00EB4F2E"/>
    <w:rsid w:val="00EB576C"/>
    <w:rsid w:val="00EB5791"/>
    <w:rsid w:val="00EB5C4C"/>
    <w:rsid w:val="00EC16B8"/>
    <w:rsid w:val="00EC18C0"/>
    <w:rsid w:val="00EC1EE7"/>
    <w:rsid w:val="00ED1044"/>
    <w:rsid w:val="00ED2D71"/>
    <w:rsid w:val="00ED50FD"/>
    <w:rsid w:val="00ED57D8"/>
    <w:rsid w:val="00EE2DC8"/>
    <w:rsid w:val="00EE3056"/>
    <w:rsid w:val="00EE528E"/>
    <w:rsid w:val="00EE70B6"/>
    <w:rsid w:val="00EF0C5C"/>
    <w:rsid w:val="00EF1C64"/>
    <w:rsid w:val="00EF2407"/>
    <w:rsid w:val="00EF62F1"/>
    <w:rsid w:val="00F01A87"/>
    <w:rsid w:val="00F1281D"/>
    <w:rsid w:val="00F1368B"/>
    <w:rsid w:val="00F22ACA"/>
    <w:rsid w:val="00F23055"/>
    <w:rsid w:val="00F23AB6"/>
    <w:rsid w:val="00F26D66"/>
    <w:rsid w:val="00F3309B"/>
    <w:rsid w:val="00F3616C"/>
    <w:rsid w:val="00F45347"/>
    <w:rsid w:val="00F6069E"/>
    <w:rsid w:val="00F6207C"/>
    <w:rsid w:val="00F6318D"/>
    <w:rsid w:val="00F67F6D"/>
    <w:rsid w:val="00F72FE7"/>
    <w:rsid w:val="00F732C8"/>
    <w:rsid w:val="00F74BB7"/>
    <w:rsid w:val="00F80BB9"/>
    <w:rsid w:val="00F810E4"/>
    <w:rsid w:val="00F8576B"/>
    <w:rsid w:val="00F85A27"/>
    <w:rsid w:val="00F87401"/>
    <w:rsid w:val="00F87D85"/>
    <w:rsid w:val="00F952EE"/>
    <w:rsid w:val="00F97644"/>
    <w:rsid w:val="00F978B2"/>
    <w:rsid w:val="00FA1FFE"/>
    <w:rsid w:val="00FA7979"/>
    <w:rsid w:val="00FA7F55"/>
    <w:rsid w:val="00FB27A7"/>
    <w:rsid w:val="00FC0A70"/>
    <w:rsid w:val="00FC4D18"/>
    <w:rsid w:val="00FC4DCE"/>
    <w:rsid w:val="00FC7F75"/>
    <w:rsid w:val="00FD0E6D"/>
    <w:rsid w:val="00FD3CF5"/>
    <w:rsid w:val="00FD516D"/>
    <w:rsid w:val="00FE1699"/>
    <w:rsid w:val="00FE7F35"/>
    <w:rsid w:val="00FF3430"/>
    <w:rsid w:val="00FF5BE0"/>
    <w:rsid w:val="00FF675E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FDB4894"/>
  <w15:chartTrackingRefBased/>
  <w15:docId w15:val="{589EEDDE-A1A6-470B-981F-26196805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42120"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/>
      <w:ind w:left="2835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pPr>
      <w:jc w:val="left"/>
    </w:pPr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  <w:jc w:val="lef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2">
    <w:name w:val="header-2"/>
    <w:basedOn w:val="P00"/>
    <w:rsid w:val="009F61AB"/>
    <w:pPr>
      <w:keepNext/>
      <w:keepLines/>
      <w:tabs>
        <w:tab w:val="clear" w:pos="6259"/>
      </w:tabs>
      <w:spacing w:before="240"/>
      <w:jc w:val="center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113.pdf" TargetMode="External"/><Relationship Id="rId1" Type="http://schemas.openxmlformats.org/officeDocument/2006/relationships/hyperlink" Target="http://www.nevo.co.il/Law_word/law06/TAK-730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1319</CharactersWithSpaces>
  <SharedDoc>false</SharedDoc>
  <HLinks>
    <vt:vector size="30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http://www.nevo.co.il/Law_word/law06/tak-7113.pdf</vt:lpwstr>
      </vt:variant>
      <vt:variant>
        <vt:lpwstr/>
      </vt:variant>
      <vt:variant>
        <vt:i4>8257546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2023-06-05T19:19:00Z</dcterms:created>
  <dcterms:modified xsi:type="dcterms:W3CDTF">2023-06-05T19:19:00Z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צו התכנון והבנייה (פטור מהיטל השבחה) (הוראת שעה) (מס' 3), תשע"ד-2013</vt:lpwstr>
  </property>
  <property fmtid="{D5CDD505-2E9C-101B-9397-08002B2CF9AE}" pid="4" name="LAWNUMBER">
    <vt:lpwstr>0938</vt:lpwstr>
  </property>
  <property fmtid="{D5CDD505-2E9C-101B-9397-08002B2CF9AE}" pid="5" name="TYPE">
    <vt:lpwstr>01</vt:lpwstr>
  </property>
  <property fmtid="{D5CDD505-2E9C-101B-9397-08002B2CF9AE}" pid="6" name="LINKK3">
    <vt:lpwstr/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mekor_samchut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CHNAME">
    <vt:lpwstr>תכנון ובניה</vt:lpwstr>
  </property>
  <property fmtid="{D5CDD505-2E9C-101B-9397-08002B2CF9AE}" pid="23" name="MEKOR_NAME1">
    <vt:lpwstr>חוק התכנון והבניה</vt:lpwstr>
  </property>
  <property fmtid="{D5CDD505-2E9C-101B-9397-08002B2CF9AE}" pid="24" name="MEKOR_SAIF1">
    <vt:lpwstr>19XבX2X</vt:lpwstr>
  </property>
  <property fmtid="{D5CDD505-2E9C-101B-9397-08002B2CF9AE}" pid="25" name="NOSE11">
    <vt:lpwstr>רשויות ומשפט מנהלי</vt:lpwstr>
  </property>
  <property fmtid="{D5CDD505-2E9C-101B-9397-08002B2CF9AE}" pid="26" name="NOSE21">
    <vt:lpwstr>תכנון ובניה</vt:lpwstr>
  </property>
  <property fmtid="{D5CDD505-2E9C-101B-9397-08002B2CF9AE}" pid="27" name="NOSE31">
    <vt:lpwstr>היטלים אגרות ופטורים</vt:lpwstr>
  </property>
  <property fmtid="{D5CDD505-2E9C-101B-9397-08002B2CF9AE}" pid="28" name="NOSE41">
    <vt:lpwstr/>
  </property>
  <property fmtid="{D5CDD505-2E9C-101B-9397-08002B2CF9AE}" pid="29" name="NOSE12">
    <vt:lpwstr>מסים</vt:lpwstr>
  </property>
  <property fmtid="{D5CDD505-2E9C-101B-9397-08002B2CF9AE}" pid="30" name="NOSE22">
    <vt:lpwstr>מיסוי מקרקעין</vt:lpwstr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>מסים</vt:lpwstr>
  </property>
  <property fmtid="{D5CDD505-2E9C-101B-9397-08002B2CF9AE}" pid="34" name="NOSE23">
    <vt:lpwstr>היטלים</vt:lpwstr>
  </property>
  <property fmtid="{D5CDD505-2E9C-101B-9397-08002B2CF9AE}" pid="35" name="NOSE33">
    <vt:lpwstr>היטל השבחה</vt:lpwstr>
  </property>
  <property fmtid="{D5CDD505-2E9C-101B-9397-08002B2CF9AE}" pid="36" name="NOSE43">
    <vt:lpwstr/>
  </property>
  <property fmtid="{D5CDD505-2E9C-101B-9397-08002B2CF9AE}" pid="37" name="NOSE14">
    <vt:lpwstr>משפט פרטי וכלכלה</vt:lpwstr>
  </property>
  <property fmtid="{D5CDD505-2E9C-101B-9397-08002B2CF9AE}" pid="38" name="NOSE24">
    <vt:lpwstr>קניין</vt:lpwstr>
  </property>
  <property fmtid="{D5CDD505-2E9C-101B-9397-08002B2CF9AE}" pid="39" name="NOSE34">
    <vt:lpwstr>מקרקעין</vt:lpwstr>
  </property>
  <property fmtid="{D5CDD505-2E9C-101B-9397-08002B2CF9AE}" pid="40" name="NOSE44">
    <vt:lpwstr>מיסוי מקרקעין</vt:lpwstr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http://www.nevo.co.il/Law_word/law06/TAK-7301.pdf;‎רשומות - תקנות כלליות#פורסם ק"ת תשע"ד ‏מס' 7301 #מיום 4.11.2013 עמ' 189‏</vt:lpwstr>
  </property>
</Properties>
</file>