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9F14" w14:textId="77777777" w:rsidR="00D25D5C" w:rsidRDefault="00D95F22" w:rsidP="000B4165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D867A1">
        <w:rPr>
          <w:rFonts w:cs="FrankRuehl" w:hint="cs"/>
          <w:sz w:val="32"/>
          <w:rtl/>
        </w:rPr>
        <w:t>תשע"</w:t>
      </w:r>
      <w:r w:rsidR="00981201">
        <w:rPr>
          <w:rFonts w:cs="FrankRuehl" w:hint="cs"/>
          <w:sz w:val="32"/>
          <w:rtl/>
        </w:rPr>
        <w:t>ט</w:t>
      </w:r>
      <w:r w:rsidR="00EB5791">
        <w:rPr>
          <w:rFonts w:cs="FrankRuehl" w:hint="cs"/>
          <w:sz w:val="32"/>
          <w:rtl/>
        </w:rPr>
        <w:t>-201</w:t>
      </w:r>
      <w:r w:rsidR="00981201">
        <w:rPr>
          <w:rFonts w:cs="FrankRuehl" w:hint="cs"/>
          <w:sz w:val="32"/>
          <w:rtl/>
        </w:rPr>
        <w:t>8</w:t>
      </w:r>
    </w:p>
    <w:p w14:paraId="5D868314" w14:textId="77777777"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14:paraId="0C5F74AE" w14:textId="77777777" w:rsidR="003F61D2" w:rsidRDefault="003F61D2" w:rsidP="003F61D2">
      <w:pPr>
        <w:spacing w:line="320" w:lineRule="auto"/>
        <w:jc w:val="left"/>
        <w:rPr>
          <w:rtl/>
        </w:rPr>
      </w:pPr>
    </w:p>
    <w:p w14:paraId="450BE597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7473BC67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14:paraId="170FA080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14:paraId="4D8D0353" w14:textId="77777777"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14:paraId="35C5632A" w14:textId="77777777" w:rsidR="00C246A6" w:rsidRDefault="00C246A6" w:rsidP="00C246A6">
      <w:pPr>
        <w:spacing w:line="320" w:lineRule="auto"/>
        <w:jc w:val="left"/>
        <w:rPr>
          <w:rtl/>
        </w:rPr>
      </w:pPr>
    </w:p>
    <w:p w14:paraId="707A1E31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D319A" w:rsidRPr="001D319A" w14:paraId="0ED045F0" w14:textId="77777777" w:rsidTr="001D31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E53923" w14:textId="77777777" w:rsidR="001D319A" w:rsidRPr="001D319A" w:rsidRDefault="001D319A" w:rsidP="001D31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FCDA697" w14:textId="77777777" w:rsidR="001D319A" w:rsidRPr="001D319A" w:rsidRDefault="001D319A" w:rsidP="001D31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14:paraId="1F7CD582" w14:textId="77777777" w:rsidR="001D319A" w:rsidRPr="001D319A" w:rsidRDefault="001D319A" w:rsidP="001D31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1D31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17B039" w14:textId="77777777" w:rsidR="001D319A" w:rsidRPr="001D319A" w:rsidRDefault="001D319A" w:rsidP="001D31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319A" w:rsidRPr="001D319A" w14:paraId="6F9413DB" w14:textId="77777777" w:rsidTr="001D31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17C9BF" w14:textId="77777777" w:rsidR="001D319A" w:rsidRPr="001D319A" w:rsidRDefault="001D319A" w:rsidP="001D31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6A3A21F" w14:textId="77777777" w:rsidR="001D319A" w:rsidRPr="001D319A" w:rsidRDefault="001D319A" w:rsidP="001D31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1E8F2ACC" w14:textId="77777777" w:rsidR="001D319A" w:rsidRPr="001D319A" w:rsidRDefault="001D319A" w:rsidP="001D31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1D31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699C0A" w14:textId="77777777" w:rsidR="001D319A" w:rsidRPr="001D319A" w:rsidRDefault="001D319A" w:rsidP="001D31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ECAABE0" w14:textId="77777777" w:rsidR="00D25D5C" w:rsidRDefault="00D25D5C" w:rsidP="000B4165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81201">
        <w:rPr>
          <w:rFonts w:cs="FrankRuehl" w:hint="cs"/>
          <w:sz w:val="32"/>
          <w:rtl/>
        </w:rPr>
        <w:lastRenderedPageBreak/>
        <w:t>צו התכנון והבנייה (פטור מהיטל השבחה) (הוראת שעה), תשע"ט-2018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03078D4" w14:textId="77777777" w:rsidR="00BD1625" w:rsidRDefault="00D43D50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851420">
        <w:rPr>
          <w:rStyle w:val="default"/>
          <w:rFonts w:cs="FrankRuehl" w:hint="cs"/>
          <w:rtl/>
        </w:rPr>
        <w:t xml:space="preserve">סמכותנו </w:t>
      </w:r>
      <w:r w:rsidR="006A2AA5">
        <w:rPr>
          <w:rStyle w:val="default"/>
          <w:rFonts w:cs="FrankRuehl" w:hint="cs"/>
          <w:rtl/>
        </w:rPr>
        <w:t>ע</w:t>
      </w:r>
      <w:r w:rsidR="00851420">
        <w:rPr>
          <w:rStyle w:val="default"/>
          <w:rFonts w:cs="FrankRuehl" w:hint="cs"/>
          <w:rtl/>
        </w:rPr>
        <w:t>ל</w:t>
      </w:r>
      <w:r w:rsidR="006A2AA5">
        <w:rPr>
          <w:rStyle w:val="default"/>
          <w:rFonts w:cs="FrankRuehl" w:hint="cs"/>
          <w:rtl/>
        </w:rPr>
        <w:t xml:space="preserve"> </w:t>
      </w:r>
      <w:r w:rsidR="00851420">
        <w:rPr>
          <w:rStyle w:val="default"/>
          <w:rFonts w:cs="FrankRuehl" w:hint="cs"/>
          <w:rtl/>
        </w:rPr>
        <w:t>פי סעיף 19(ב)(2) ב</w:t>
      </w:r>
      <w:r w:rsidR="00D95F22">
        <w:rPr>
          <w:rStyle w:val="default"/>
          <w:rFonts w:cs="FrankRuehl" w:hint="cs"/>
          <w:rtl/>
        </w:rPr>
        <w:t>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 xml:space="preserve">ה, התשכ"ה-1965, ובהסכמת </w:t>
      </w:r>
      <w:r w:rsidR="00981201">
        <w:rPr>
          <w:rStyle w:val="default"/>
          <w:rFonts w:cs="FrankRuehl" w:hint="cs"/>
          <w:rtl/>
        </w:rPr>
        <w:t>עיריית יבנה</w:t>
      </w:r>
      <w:r w:rsidR="00D95F22">
        <w:rPr>
          <w:rStyle w:val="default"/>
          <w:rFonts w:cs="FrankRuehl" w:hint="cs"/>
          <w:rtl/>
        </w:rPr>
        <w:t>, אנו מצווים לאמור</w:t>
      </w:r>
      <w:r>
        <w:rPr>
          <w:rStyle w:val="default"/>
          <w:rFonts w:cs="FrankRuehl" w:hint="cs"/>
          <w:rtl/>
        </w:rPr>
        <w:t>:</w:t>
      </w:r>
    </w:p>
    <w:p w14:paraId="3E984FA8" w14:textId="77777777" w:rsidR="00642120" w:rsidRDefault="00642120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>
        <w:rPr>
          <w:lang w:val="he-IL"/>
        </w:rPr>
        <w:pict w14:anchorId="4B72E66E">
          <v:rect id="_x0000_s1107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567922E7" w14:textId="77777777"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הרחבה של דירת מגורים </w:t>
      </w:r>
      <w:r w:rsidR="006A2AA5">
        <w:rPr>
          <w:rStyle w:val="default"/>
          <w:rFonts w:cs="FrankRuehl" w:hint="cs"/>
          <w:sz w:val="20"/>
          <w:rtl/>
        </w:rPr>
        <w:t xml:space="preserve">לפי תכנית </w:t>
      </w:r>
      <w:r w:rsidR="00981201">
        <w:rPr>
          <w:rStyle w:val="default"/>
          <w:rFonts w:cs="FrankRuehl" w:hint="cs"/>
          <w:sz w:val="20"/>
          <w:rtl/>
        </w:rPr>
        <w:t>404-0117507</w:t>
      </w:r>
      <w:r w:rsidR="006A2AA5">
        <w:rPr>
          <w:rStyle w:val="default"/>
          <w:rFonts w:cs="FrankRuehl" w:hint="cs"/>
          <w:sz w:val="20"/>
          <w:rtl/>
        </w:rPr>
        <w:t xml:space="preserve">, </w:t>
      </w:r>
      <w:r w:rsidR="00EB5791">
        <w:rPr>
          <w:rStyle w:val="default"/>
          <w:rFonts w:cs="FrankRuehl" w:hint="cs"/>
          <w:sz w:val="20"/>
          <w:rtl/>
        </w:rPr>
        <w:t xml:space="preserve">במתחם </w:t>
      </w:r>
      <w:r w:rsidR="00D95F22">
        <w:rPr>
          <w:rStyle w:val="default"/>
          <w:rFonts w:cs="FrankRuehl" w:hint="cs"/>
          <w:sz w:val="20"/>
          <w:rtl/>
        </w:rPr>
        <w:t>המתואר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851420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14:paraId="7434B66C" w14:textId="77777777" w:rsidR="00F23055" w:rsidRDefault="00F23055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Seif2"/>
      <w:bookmarkEnd w:id="1"/>
      <w:r>
        <w:rPr>
          <w:lang w:val="he-IL"/>
        </w:rPr>
        <w:pict w14:anchorId="11FEF842">
          <v:rect id="_x0000_s1332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37C39719" w14:textId="77777777"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D95F22">
        <w:rPr>
          <w:rStyle w:val="default"/>
          <w:rFonts w:cs="FrankRuehl" w:hint="cs"/>
          <w:sz w:val="20"/>
          <w:rtl/>
        </w:rPr>
        <w:t xml:space="preserve">תוקפו של צו זה עד יום </w:t>
      </w:r>
      <w:r w:rsidR="00981201">
        <w:rPr>
          <w:rStyle w:val="default"/>
          <w:rFonts w:cs="FrankRuehl" w:hint="cs"/>
          <w:sz w:val="20"/>
          <w:rtl/>
        </w:rPr>
        <w:t>ב' בניסן</w:t>
      </w:r>
      <w:r w:rsidR="00EB5791">
        <w:rPr>
          <w:rStyle w:val="default"/>
          <w:rFonts w:cs="FrankRuehl" w:hint="cs"/>
          <w:sz w:val="20"/>
          <w:rtl/>
        </w:rPr>
        <w:t xml:space="preserve"> התש</w:t>
      </w:r>
      <w:r w:rsidR="006A2AA5">
        <w:rPr>
          <w:rStyle w:val="default"/>
          <w:rFonts w:cs="FrankRuehl" w:hint="cs"/>
          <w:sz w:val="20"/>
          <w:rtl/>
        </w:rPr>
        <w:t>פ"</w:t>
      </w:r>
      <w:r w:rsidR="00981201">
        <w:rPr>
          <w:rStyle w:val="default"/>
          <w:rFonts w:cs="FrankRuehl" w:hint="cs"/>
          <w:sz w:val="20"/>
          <w:rtl/>
        </w:rPr>
        <w:t>ד</w:t>
      </w:r>
      <w:r w:rsidR="00EB5791">
        <w:rPr>
          <w:rStyle w:val="default"/>
          <w:rFonts w:cs="FrankRuehl" w:hint="cs"/>
          <w:sz w:val="20"/>
          <w:rtl/>
        </w:rPr>
        <w:t xml:space="preserve"> (</w:t>
      </w:r>
      <w:r w:rsidR="00981201">
        <w:rPr>
          <w:rStyle w:val="default"/>
          <w:rFonts w:cs="FrankRuehl" w:hint="cs"/>
          <w:sz w:val="20"/>
          <w:rtl/>
        </w:rPr>
        <w:t>10 לאפריל</w:t>
      </w:r>
      <w:r w:rsidR="006A2AA5">
        <w:rPr>
          <w:rStyle w:val="default"/>
          <w:rFonts w:cs="FrankRuehl" w:hint="cs"/>
          <w:sz w:val="20"/>
          <w:rtl/>
        </w:rPr>
        <w:t xml:space="preserve"> 202</w:t>
      </w:r>
      <w:r w:rsidR="00981201">
        <w:rPr>
          <w:rStyle w:val="default"/>
          <w:rFonts w:cs="FrankRuehl" w:hint="cs"/>
          <w:sz w:val="20"/>
          <w:rtl/>
        </w:rPr>
        <w:t>4</w:t>
      </w:r>
      <w:r w:rsidR="00EB5791">
        <w:rPr>
          <w:rStyle w:val="default"/>
          <w:rFonts w:cs="FrankRuehl" w:hint="cs"/>
          <w:sz w:val="20"/>
          <w:rtl/>
        </w:rPr>
        <w:t>), זולת אם בו</w:t>
      </w:r>
      <w:r w:rsidR="00D95F22">
        <w:rPr>
          <w:rStyle w:val="default"/>
          <w:rFonts w:cs="FrankRuehl" w:hint="cs"/>
          <w:sz w:val="20"/>
          <w:rtl/>
        </w:rPr>
        <w:t>טלה ההכרזה</w:t>
      </w:r>
      <w:r w:rsidR="00EA4128">
        <w:rPr>
          <w:rStyle w:val="a6"/>
          <w:rFonts w:cs="FrankRuehl"/>
          <w:rtl/>
        </w:rPr>
        <w:footnoteReference w:id="2"/>
      </w:r>
      <w:r w:rsidR="00981201">
        <w:rPr>
          <w:rStyle w:val="default"/>
          <w:rFonts w:cs="FrankRuehl" w:hint="cs"/>
          <w:sz w:val="20"/>
          <w:rtl/>
        </w:rPr>
        <w:t>,</w:t>
      </w:r>
      <w:r w:rsidR="00D95F22">
        <w:rPr>
          <w:rStyle w:val="default"/>
          <w:rFonts w:cs="FrankRuehl" w:hint="cs"/>
          <w:sz w:val="20"/>
          <w:rtl/>
        </w:rPr>
        <w:t xml:space="preserve"> על המתחם </w:t>
      </w:r>
      <w:r w:rsidR="00981201">
        <w:rPr>
          <w:rStyle w:val="default"/>
          <w:rFonts w:cs="FrankRuehl" w:hint="cs"/>
          <w:sz w:val="20"/>
          <w:rtl/>
        </w:rPr>
        <w:t xml:space="preserve">לפינוי לשם בינוי </w:t>
      </w:r>
      <w:r w:rsidR="00D95F22">
        <w:rPr>
          <w:rStyle w:val="default"/>
          <w:rFonts w:cs="FrankRuehl" w:hint="cs"/>
          <w:sz w:val="20"/>
          <w:rtl/>
        </w:rPr>
        <w:t>קודם לכן</w:t>
      </w:r>
      <w:r w:rsidR="00746DE0">
        <w:rPr>
          <w:rStyle w:val="default"/>
          <w:rFonts w:cs="FrankRuehl" w:hint="cs"/>
          <w:sz w:val="20"/>
          <w:rtl/>
        </w:rPr>
        <w:t>.</w:t>
      </w:r>
    </w:p>
    <w:p w14:paraId="254737A2" w14:textId="77777777" w:rsidR="00F23055" w:rsidRDefault="00F2305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2E18FE" w14:textId="77777777" w:rsidR="00D95F22" w:rsidRPr="00C829DC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 w:rsidRPr="00C829DC">
        <w:rPr>
          <w:rStyle w:val="default"/>
          <w:rFonts w:cs="FrankRuehl" w:hint="cs"/>
          <w:b/>
          <w:bCs/>
          <w:sz w:val="24"/>
          <w:szCs w:val="24"/>
          <w:rtl/>
        </w:rPr>
        <w:t>תוספת</w:t>
      </w:r>
    </w:p>
    <w:p w14:paraId="5B81ABA1" w14:textId="77777777" w:rsidR="00D95F22" w:rsidRPr="00D95F22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D95F22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8A213C9" w14:textId="77777777" w:rsidR="00D95F22" w:rsidRDefault="00680E53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מתחם הכרמל ביבנה, גוש 4945 חלקות 63, 146, 148</w:t>
      </w:r>
      <w:r w:rsidR="00D95F22">
        <w:rPr>
          <w:rStyle w:val="default"/>
          <w:rFonts w:cs="FrankRuehl" w:hint="cs"/>
          <w:rtl/>
        </w:rPr>
        <w:t>.</w:t>
      </w:r>
    </w:p>
    <w:p w14:paraId="1CDDC6C3" w14:textId="77777777" w:rsidR="00981201" w:rsidRDefault="00981201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1ED7EC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4E2B3C" w14:textId="77777777" w:rsidR="00CB494E" w:rsidRDefault="00680E53" w:rsidP="00851420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בכסלו</w:t>
      </w:r>
      <w:r w:rsidR="00EB5791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ט</w:t>
      </w:r>
      <w:r w:rsidR="00EB5791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18 בנובמבר</w:t>
      </w:r>
      <w:r w:rsidR="006A2AA5">
        <w:rPr>
          <w:rFonts w:cs="FrankRuehl" w:hint="cs"/>
          <w:sz w:val="26"/>
          <w:rtl/>
        </w:rPr>
        <w:t xml:space="preserve"> 201</w:t>
      </w:r>
      <w:r>
        <w:rPr>
          <w:rFonts w:cs="FrankRuehl" w:hint="cs"/>
          <w:sz w:val="26"/>
          <w:rtl/>
        </w:rPr>
        <w:t>8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אריה מכלוף דרעי</w:t>
      </w:r>
      <w:r w:rsidR="00D95F22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יואב גלנט</w:t>
      </w:r>
    </w:p>
    <w:p w14:paraId="3EDD86F9" w14:textId="77777777"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 xml:space="preserve">שר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 הבינוי והשיכון</w:t>
      </w:r>
    </w:p>
    <w:p w14:paraId="538FD7B2" w14:textId="77777777" w:rsidR="00DD4013" w:rsidRDefault="00DD401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52AE51" w14:textId="77777777" w:rsidR="00A43FF0" w:rsidRDefault="00A43FF0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F62D6C" w14:textId="77777777" w:rsidR="001D319A" w:rsidRDefault="001D319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395377" w14:textId="77777777" w:rsidR="001D319A" w:rsidRDefault="001D319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43BDCB" w14:textId="77777777" w:rsidR="001D319A" w:rsidRDefault="001D319A" w:rsidP="001D319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8D4EC1C" w14:textId="77777777" w:rsidR="00A43FF0" w:rsidRPr="001D319A" w:rsidRDefault="00A43FF0" w:rsidP="001D319A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A43FF0" w:rsidRPr="001D319A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9308" w14:textId="77777777" w:rsidR="00194FAC" w:rsidRDefault="00194FAC">
      <w:r>
        <w:separator/>
      </w:r>
    </w:p>
  </w:endnote>
  <w:endnote w:type="continuationSeparator" w:id="0">
    <w:p w14:paraId="509E36F7" w14:textId="77777777" w:rsidR="00194FAC" w:rsidRDefault="00194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22022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977B30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A5DBB2E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8304F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D319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7A2196C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0B60C17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6BDD6" w14:textId="77777777" w:rsidR="00194FAC" w:rsidRDefault="00194FAC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4785E1C" w14:textId="77777777" w:rsidR="00194FAC" w:rsidRDefault="00194FAC">
      <w:pPr>
        <w:spacing w:before="60"/>
        <w:ind w:right="1134"/>
      </w:pPr>
      <w:r>
        <w:separator/>
      </w:r>
    </w:p>
  </w:footnote>
  <w:footnote w:id="1">
    <w:p w14:paraId="7758794E" w14:textId="77777777" w:rsidR="00055537" w:rsidRDefault="00415244" w:rsidP="000555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055537">
          <w:rPr>
            <w:rStyle w:val="Hyperlink"/>
            <w:rFonts w:cs="FrankRuehl" w:hint="cs"/>
            <w:rtl/>
          </w:rPr>
          <w:t>ק"ת תשע</w:t>
        </w:r>
        <w:r w:rsidR="00521967" w:rsidRPr="00055537">
          <w:rPr>
            <w:rStyle w:val="Hyperlink"/>
            <w:rFonts w:cs="FrankRuehl" w:hint="cs"/>
            <w:rtl/>
          </w:rPr>
          <w:t>"</w:t>
        </w:r>
        <w:r w:rsidR="00981201" w:rsidRPr="00055537">
          <w:rPr>
            <w:rStyle w:val="Hyperlink"/>
            <w:rFonts w:cs="FrankRuehl" w:hint="cs"/>
            <w:rtl/>
          </w:rPr>
          <w:t>ט</w:t>
        </w:r>
        <w:r w:rsidR="00521967" w:rsidRPr="00055537">
          <w:rPr>
            <w:rStyle w:val="Hyperlink"/>
            <w:rFonts w:cs="FrankRuehl" w:hint="cs"/>
            <w:rtl/>
          </w:rPr>
          <w:t xml:space="preserve"> </w:t>
        </w:r>
        <w:r w:rsidRPr="00055537">
          <w:rPr>
            <w:rStyle w:val="Hyperlink"/>
            <w:rFonts w:cs="FrankRuehl" w:hint="cs"/>
            <w:rtl/>
          </w:rPr>
          <w:t xml:space="preserve">מס' </w:t>
        </w:r>
        <w:r w:rsidR="00981201" w:rsidRPr="00055537">
          <w:rPr>
            <w:rStyle w:val="Hyperlink"/>
            <w:rFonts w:cs="FrankRuehl" w:hint="cs"/>
            <w:rtl/>
          </w:rPr>
          <w:t>8120</w:t>
        </w:r>
      </w:hyperlink>
      <w:r>
        <w:rPr>
          <w:rFonts w:cs="FrankRuehl" w:hint="cs"/>
          <w:rtl/>
        </w:rPr>
        <w:t xml:space="preserve"> מיום </w:t>
      </w:r>
      <w:r w:rsidR="00981201">
        <w:rPr>
          <w:rFonts w:cs="FrankRuehl" w:hint="cs"/>
          <w:rtl/>
        </w:rPr>
        <w:t>11.12.2018</w:t>
      </w:r>
      <w:r>
        <w:rPr>
          <w:rFonts w:cs="FrankRuehl" w:hint="cs"/>
          <w:rtl/>
        </w:rPr>
        <w:t xml:space="preserve"> עמ' </w:t>
      </w:r>
      <w:r w:rsidR="00981201">
        <w:rPr>
          <w:rFonts w:cs="FrankRuehl" w:hint="cs"/>
          <w:rtl/>
        </w:rPr>
        <w:t>1486</w:t>
      </w:r>
      <w:r>
        <w:rPr>
          <w:rFonts w:cs="FrankRuehl" w:hint="cs"/>
          <w:rtl/>
        </w:rPr>
        <w:t>.</w:t>
      </w:r>
    </w:p>
  </w:footnote>
  <w:footnote w:id="2">
    <w:p w14:paraId="183298A7" w14:textId="77777777" w:rsidR="00EA4128" w:rsidRDefault="00EA4128" w:rsidP="00A258DC">
      <w:pPr>
        <w:pStyle w:val="a5"/>
        <w:spacing w:before="72" w:line="240" w:lineRule="auto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EA4128">
        <w:rPr>
          <w:rFonts w:cs="FrankRuehl"/>
          <w:sz w:val="22"/>
          <w:szCs w:val="22"/>
          <w:rtl/>
        </w:rPr>
        <w:t xml:space="preserve"> </w:t>
      </w:r>
      <w:r w:rsidRPr="00EA4128">
        <w:rPr>
          <w:rFonts w:cs="FrankRuehl" w:hint="cs"/>
          <w:sz w:val="22"/>
          <w:szCs w:val="22"/>
          <w:rtl/>
        </w:rPr>
        <w:t xml:space="preserve">צו </w:t>
      </w:r>
      <w:r w:rsidR="00C51D6E">
        <w:rPr>
          <w:rFonts w:cs="FrankRuehl" w:hint="cs"/>
          <w:sz w:val="22"/>
          <w:szCs w:val="22"/>
          <w:rtl/>
        </w:rPr>
        <w:t>הרשות הממשלתית להתחדשות עירונית (הכרזה על מתחמים לפינוי ובינוי במסלול מיסוי)</w:t>
      </w:r>
      <w:r w:rsidR="00680E53">
        <w:rPr>
          <w:rFonts w:cs="FrankRuehl" w:hint="cs"/>
          <w:sz w:val="22"/>
          <w:szCs w:val="22"/>
          <w:rtl/>
        </w:rPr>
        <w:t xml:space="preserve"> (הוראת שעה מס' 4)</w:t>
      </w:r>
      <w:r w:rsidR="00C51D6E">
        <w:rPr>
          <w:rFonts w:cs="FrankRuehl" w:hint="cs"/>
          <w:sz w:val="22"/>
          <w:szCs w:val="22"/>
          <w:rtl/>
        </w:rPr>
        <w:t>, תשע"</w:t>
      </w:r>
      <w:r w:rsidR="00680E53">
        <w:rPr>
          <w:rFonts w:cs="FrankRuehl" w:hint="cs"/>
          <w:sz w:val="22"/>
          <w:szCs w:val="22"/>
          <w:rtl/>
        </w:rPr>
        <w:t>ח</w:t>
      </w:r>
      <w:r w:rsidR="00C51D6E">
        <w:rPr>
          <w:rFonts w:cs="FrankRuehl" w:hint="cs"/>
          <w:sz w:val="22"/>
          <w:szCs w:val="22"/>
          <w:rtl/>
        </w:rPr>
        <w:t>-201</w:t>
      </w:r>
      <w:r w:rsidR="00680E53">
        <w:rPr>
          <w:rFonts w:cs="FrankRuehl" w:hint="cs"/>
          <w:sz w:val="22"/>
          <w:szCs w:val="22"/>
          <w:rtl/>
        </w:rPr>
        <w:t>8</w:t>
      </w:r>
      <w:r w:rsidR="00C829DC">
        <w:rPr>
          <w:rFonts w:cs="FrankRuehl" w:hint="cs"/>
          <w:sz w:val="22"/>
          <w:szCs w:val="22"/>
          <w:rtl/>
        </w:rPr>
        <w:t xml:space="preserve">: </w:t>
      </w:r>
      <w:hyperlink r:id="rId2" w:history="1">
        <w:r w:rsidR="00C829DC" w:rsidRPr="00A258DC">
          <w:rPr>
            <w:rStyle w:val="Hyperlink"/>
            <w:rFonts w:cs="FrankRuehl" w:hint="cs"/>
            <w:sz w:val="22"/>
            <w:szCs w:val="22"/>
            <w:rtl/>
          </w:rPr>
          <w:t>ק"ת תשע"</w:t>
        </w:r>
        <w:r w:rsidR="00680E53">
          <w:rPr>
            <w:rStyle w:val="Hyperlink"/>
            <w:rFonts w:cs="FrankRuehl" w:hint="cs"/>
            <w:sz w:val="22"/>
            <w:szCs w:val="22"/>
            <w:rtl/>
          </w:rPr>
          <w:t>ח</w:t>
        </w:r>
        <w:r w:rsidR="00C829DC" w:rsidRPr="00A258DC">
          <w:rPr>
            <w:rStyle w:val="Hyperlink"/>
            <w:rFonts w:cs="FrankRuehl" w:hint="cs"/>
            <w:sz w:val="22"/>
            <w:szCs w:val="22"/>
            <w:rtl/>
          </w:rPr>
          <w:t xml:space="preserve"> מס' 7</w:t>
        </w:r>
        <w:r w:rsidR="00680E53">
          <w:rPr>
            <w:rStyle w:val="Hyperlink"/>
            <w:rFonts w:cs="FrankRuehl" w:hint="cs"/>
            <w:sz w:val="22"/>
            <w:szCs w:val="22"/>
            <w:rtl/>
          </w:rPr>
          <w:t>9</w:t>
        </w:r>
        <w:r w:rsidR="00C51D6E">
          <w:rPr>
            <w:rStyle w:val="Hyperlink"/>
            <w:rFonts w:cs="FrankRuehl" w:hint="cs"/>
            <w:sz w:val="22"/>
            <w:szCs w:val="22"/>
            <w:rtl/>
          </w:rPr>
          <w:t>83</w:t>
        </w:r>
      </w:hyperlink>
      <w:r w:rsidR="00C829DC">
        <w:rPr>
          <w:rFonts w:cs="FrankRuehl" w:hint="cs"/>
          <w:sz w:val="22"/>
          <w:szCs w:val="22"/>
          <w:rtl/>
        </w:rPr>
        <w:t xml:space="preserve"> מיום </w:t>
      </w:r>
      <w:r w:rsidR="00680E53">
        <w:rPr>
          <w:rFonts w:cs="FrankRuehl" w:hint="cs"/>
          <w:sz w:val="22"/>
          <w:szCs w:val="22"/>
          <w:rtl/>
        </w:rPr>
        <w:t>10.4.2018</w:t>
      </w:r>
      <w:r w:rsidR="00C829DC">
        <w:rPr>
          <w:rFonts w:cs="FrankRuehl" w:hint="cs"/>
          <w:sz w:val="22"/>
          <w:szCs w:val="22"/>
          <w:rtl/>
        </w:rPr>
        <w:t xml:space="preserve"> עמ' </w:t>
      </w:r>
      <w:r w:rsidR="00680E53">
        <w:rPr>
          <w:rFonts w:cs="FrankRuehl" w:hint="cs"/>
          <w:sz w:val="22"/>
          <w:szCs w:val="22"/>
          <w:rtl/>
        </w:rPr>
        <w:t>1769</w:t>
      </w:r>
      <w:r w:rsidRPr="00EA4128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2D5DE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1039571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88EA30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2C74" w14:textId="77777777" w:rsidR="00415244" w:rsidRDefault="00D95F22" w:rsidP="000B41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D867A1">
      <w:rPr>
        <w:rFonts w:hAnsi="FrankRuehl" w:cs="FrankRuehl" w:hint="cs"/>
        <w:color w:val="000000"/>
        <w:sz w:val="28"/>
        <w:szCs w:val="28"/>
        <w:rtl/>
      </w:rPr>
      <w:t>תשע"</w:t>
    </w:r>
    <w:r w:rsidR="00981201">
      <w:rPr>
        <w:rFonts w:hAnsi="FrankRuehl" w:cs="FrankRuehl" w:hint="cs"/>
        <w:color w:val="000000"/>
        <w:sz w:val="28"/>
        <w:szCs w:val="28"/>
        <w:rtl/>
      </w:rPr>
      <w:t>ט</w:t>
    </w:r>
    <w:r w:rsidR="000B4165">
      <w:rPr>
        <w:rFonts w:hAnsi="FrankRuehl" w:cs="FrankRuehl" w:hint="cs"/>
        <w:color w:val="000000"/>
        <w:sz w:val="28"/>
        <w:szCs w:val="28"/>
        <w:rtl/>
      </w:rPr>
      <w:t>-201</w:t>
    </w:r>
    <w:r w:rsidR="00981201">
      <w:rPr>
        <w:rFonts w:hAnsi="FrankRuehl" w:cs="FrankRuehl" w:hint="cs"/>
        <w:color w:val="000000"/>
        <w:sz w:val="28"/>
        <w:szCs w:val="28"/>
        <w:rtl/>
      </w:rPr>
      <w:t>8</w:t>
    </w:r>
  </w:p>
  <w:p w14:paraId="38B12DDD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395B52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1344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33964"/>
    <w:rsid w:val="000366D4"/>
    <w:rsid w:val="000377F5"/>
    <w:rsid w:val="00046B7F"/>
    <w:rsid w:val="00055537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48CA"/>
    <w:rsid w:val="00094DD9"/>
    <w:rsid w:val="000B4165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30BD"/>
    <w:rsid w:val="001001D1"/>
    <w:rsid w:val="00102B63"/>
    <w:rsid w:val="0010753D"/>
    <w:rsid w:val="00112119"/>
    <w:rsid w:val="001150B9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615C2"/>
    <w:rsid w:val="00170251"/>
    <w:rsid w:val="00181980"/>
    <w:rsid w:val="00186445"/>
    <w:rsid w:val="001931BA"/>
    <w:rsid w:val="00194FAC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319A"/>
    <w:rsid w:val="001D6CC8"/>
    <w:rsid w:val="001D758F"/>
    <w:rsid w:val="001E0FA8"/>
    <w:rsid w:val="001E196A"/>
    <w:rsid w:val="001F21FF"/>
    <w:rsid w:val="00201476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03E3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78DC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A589C"/>
    <w:rsid w:val="003B4C6D"/>
    <w:rsid w:val="003C08EF"/>
    <w:rsid w:val="003C3F19"/>
    <w:rsid w:val="003C6DF3"/>
    <w:rsid w:val="003D5BB0"/>
    <w:rsid w:val="003D600F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500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3081B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C7D5D"/>
    <w:rsid w:val="005D404E"/>
    <w:rsid w:val="005D6BA5"/>
    <w:rsid w:val="005D72E7"/>
    <w:rsid w:val="005E00B5"/>
    <w:rsid w:val="005E3B35"/>
    <w:rsid w:val="005E616B"/>
    <w:rsid w:val="005E67B1"/>
    <w:rsid w:val="005E7167"/>
    <w:rsid w:val="005F18E0"/>
    <w:rsid w:val="006054F3"/>
    <w:rsid w:val="00605671"/>
    <w:rsid w:val="00614CD9"/>
    <w:rsid w:val="0061568A"/>
    <w:rsid w:val="00617252"/>
    <w:rsid w:val="0061779C"/>
    <w:rsid w:val="0062009E"/>
    <w:rsid w:val="006232B4"/>
    <w:rsid w:val="00625C99"/>
    <w:rsid w:val="00630F20"/>
    <w:rsid w:val="00634371"/>
    <w:rsid w:val="00635CB5"/>
    <w:rsid w:val="00640B97"/>
    <w:rsid w:val="00642120"/>
    <w:rsid w:val="00650A46"/>
    <w:rsid w:val="0065191D"/>
    <w:rsid w:val="006618EF"/>
    <w:rsid w:val="00672071"/>
    <w:rsid w:val="006741BB"/>
    <w:rsid w:val="00675948"/>
    <w:rsid w:val="00677514"/>
    <w:rsid w:val="00680706"/>
    <w:rsid w:val="00680E53"/>
    <w:rsid w:val="006811F8"/>
    <w:rsid w:val="00683FEC"/>
    <w:rsid w:val="00684080"/>
    <w:rsid w:val="006849D8"/>
    <w:rsid w:val="00687666"/>
    <w:rsid w:val="00697EB2"/>
    <w:rsid w:val="006A0AF5"/>
    <w:rsid w:val="006A2AA5"/>
    <w:rsid w:val="006A4259"/>
    <w:rsid w:val="006A6733"/>
    <w:rsid w:val="006A75B5"/>
    <w:rsid w:val="006A7DDF"/>
    <w:rsid w:val="006B0BB4"/>
    <w:rsid w:val="006B0DB6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105"/>
    <w:rsid w:val="007035D6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1804"/>
    <w:rsid w:val="007C57AA"/>
    <w:rsid w:val="007D32F5"/>
    <w:rsid w:val="007D4EE6"/>
    <w:rsid w:val="007D726F"/>
    <w:rsid w:val="007D73DF"/>
    <w:rsid w:val="007F0616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4017A"/>
    <w:rsid w:val="00841A08"/>
    <w:rsid w:val="008502EE"/>
    <w:rsid w:val="00851420"/>
    <w:rsid w:val="00852A6C"/>
    <w:rsid w:val="0085655A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D2117"/>
    <w:rsid w:val="008E0EC9"/>
    <w:rsid w:val="008E3201"/>
    <w:rsid w:val="008E367E"/>
    <w:rsid w:val="008E36CB"/>
    <w:rsid w:val="008E73A8"/>
    <w:rsid w:val="008E7FBC"/>
    <w:rsid w:val="00901385"/>
    <w:rsid w:val="00902390"/>
    <w:rsid w:val="00904CD2"/>
    <w:rsid w:val="00904EEA"/>
    <w:rsid w:val="00906581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81201"/>
    <w:rsid w:val="0099490C"/>
    <w:rsid w:val="009C2916"/>
    <w:rsid w:val="009C2B9E"/>
    <w:rsid w:val="009C3187"/>
    <w:rsid w:val="009C519A"/>
    <w:rsid w:val="009C5B73"/>
    <w:rsid w:val="009D2D28"/>
    <w:rsid w:val="009D50CE"/>
    <w:rsid w:val="009E1071"/>
    <w:rsid w:val="009E2AAC"/>
    <w:rsid w:val="009E7FC2"/>
    <w:rsid w:val="009F01BD"/>
    <w:rsid w:val="009F2FC1"/>
    <w:rsid w:val="009F35FF"/>
    <w:rsid w:val="009F483B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258DC"/>
    <w:rsid w:val="00A308E0"/>
    <w:rsid w:val="00A37976"/>
    <w:rsid w:val="00A42C95"/>
    <w:rsid w:val="00A43FF0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A06AC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5076"/>
    <w:rsid w:val="00AE4A4F"/>
    <w:rsid w:val="00AF36BF"/>
    <w:rsid w:val="00B005C1"/>
    <w:rsid w:val="00B0106C"/>
    <w:rsid w:val="00B066BC"/>
    <w:rsid w:val="00B12F53"/>
    <w:rsid w:val="00B173CC"/>
    <w:rsid w:val="00B17AF7"/>
    <w:rsid w:val="00B218F8"/>
    <w:rsid w:val="00B255CC"/>
    <w:rsid w:val="00B273CF"/>
    <w:rsid w:val="00B36314"/>
    <w:rsid w:val="00B42500"/>
    <w:rsid w:val="00B459E4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712A"/>
    <w:rsid w:val="00C07231"/>
    <w:rsid w:val="00C12200"/>
    <w:rsid w:val="00C14B1A"/>
    <w:rsid w:val="00C14DD4"/>
    <w:rsid w:val="00C17A30"/>
    <w:rsid w:val="00C246A6"/>
    <w:rsid w:val="00C3406E"/>
    <w:rsid w:val="00C34AA6"/>
    <w:rsid w:val="00C47162"/>
    <w:rsid w:val="00C507B6"/>
    <w:rsid w:val="00C51D6E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6719"/>
    <w:rsid w:val="00CD6F99"/>
    <w:rsid w:val="00CE1D30"/>
    <w:rsid w:val="00CE1F5F"/>
    <w:rsid w:val="00CE64CC"/>
    <w:rsid w:val="00CF335C"/>
    <w:rsid w:val="00CF4B69"/>
    <w:rsid w:val="00CF79EB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7A1"/>
    <w:rsid w:val="00D909F6"/>
    <w:rsid w:val="00D91151"/>
    <w:rsid w:val="00D95F22"/>
    <w:rsid w:val="00DA1151"/>
    <w:rsid w:val="00DA1B2B"/>
    <w:rsid w:val="00DB2F3B"/>
    <w:rsid w:val="00DB7031"/>
    <w:rsid w:val="00DC4F86"/>
    <w:rsid w:val="00DD4013"/>
    <w:rsid w:val="00DD4EE1"/>
    <w:rsid w:val="00DD6D56"/>
    <w:rsid w:val="00DF0302"/>
    <w:rsid w:val="00DF1462"/>
    <w:rsid w:val="00DF2216"/>
    <w:rsid w:val="00DF70B1"/>
    <w:rsid w:val="00DF712A"/>
    <w:rsid w:val="00E06B57"/>
    <w:rsid w:val="00E14861"/>
    <w:rsid w:val="00E158EA"/>
    <w:rsid w:val="00E2758D"/>
    <w:rsid w:val="00E42675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3617"/>
    <w:rsid w:val="00E9389D"/>
    <w:rsid w:val="00E967BF"/>
    <w:rsid w:val="00EA4128"/>
    <w:rsid w:val="00EB059B"/>
    <w:rsid w:val="00EB2FD0"/>
    <w:rsid w:val="00EB4559"/>
    <w:rsid w:val="00EB4F2E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3056"/>
    <w:rsid w:val="00EE528E"/>
    <w:rsid w:val="00EE70B6"/>
    <w:rsid w:val="00EF0C5C"/>
    <w:rsid w:val="00EF1C64"/>
    <w:rsid w:val="00EF2407"/>
    <w:rsid w:val="00EF62F1"/>
    <w:rsid w:val="00F01A87"/>
    <w:rsid w:val="00F1281D"/>
    <w:rsid w:val="00F1368B"/>
    <w:rsid w:val="00F22ACA"/>
    <w:rsid w:val="00F23055"/>
    <w:rsid w:val="00F23AB6"/>
    <w:rsid w:val="00F26D6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74BB7"/>
    <w:rsid w:val="00F80BB9"/>
    <w:rsid w:val="00F810E4"/>
    <w:rsid w:val="00F8576B"/>
    <w:rsid w:val="00F85A27"/>
    <w:rsid w:val="00F87401"/>
    <w:rsid w:val="00F87D85"/>
    <w:rsid w:val="00F952EE"/>
    <w:rsid w:val="00F97644"/>
    <w:rsid w:val="00F978B2"/>
    <w:rsid w:val="00FA1FFE"/>
    <w:rsid w:val="00FA7979"/>
    <w:rsid w:val="00FA7F55"/>
    <w:rsid w:val="00FB27A7"/>
    <w:rsid w:val="00FC0A70"/>
    <w:rsid w:val="00FC4D18"/>
    <w:rsid w:val="00FC7F75"/>
    <w:rsid w:val="00FD0E6D"/>
    <w:rsid w:val="00FD3CF5"/>
    <w:rsid w:val="00FD516D"/>
    <w:rsid w:val="00FE1699"/>
    <w:rsid w:val="00FE2371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60002EB"/>
  <w15:chartTrackingRefBased/>
  <w15:docId w15:val="{2D29754E-BE6B-4BDF-8EEF-46F6E588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983.pdf" TargetMode="External"/><Relationship Id="rId1" Type="http://schemas.openxmlformats.org/officeDocument/2006/relationships/hyperlink" Target="http://www.nevo.co.il/Law_word/law06/TAK-81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1231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http://www.nevo.co.il/Law_word/law06/tak-7983.pdf</vt:lpwstr>
      </vt:variant>
      <vt:variant>
        <vt:lpwstr/>
      </vt:variant>
      <vt:variant>
        <vt:i4>7536649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התכנון והבנייה (פטור מהיטל השבחה) (הוראת שעה), תשע"ט-2018</vt:lpwstr>
  </property>
  <property fmtid="{D5CDD505-2E9C-101B-9397-08002B2CF9AE}" pid="4" name="LAWNUMBER">
    <vt:lpwstr>0005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MEKOR_NAME1">
    <vt:lpwstr>חוק התכנון והבניה</vt:lpwstr>
  </property>
  <property fmtid="{D5CDD505-2E9C-101B-9397-08002B2CF9AE}" pid="24" name="MEKOR_SAIF1">
    <vt:lpwstr>19XבX2X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תכנון ובניה</vt:lpwstr>
  </property>
  <property fmtid="{D5CDD505-2E9C-101B-9397-08002B2CF9AE}" pid="27" name="NOSE31">
    <vt:lpwstr>היטלים אגרות ופטורים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מיסוי מקרקעין</vt:lpwstr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>מסים</vt:lpwstr>
  </property>
  <property fmtid="{D5CDD505-2E9C-101B-9397-08002B2CF9AE}" pid="34" name="NOSE23">
    <vt:lpwstr>היטלים</vt:lpwstr>
  </property>
  <property fmtid="{D5CDD505-2E9C-101B-9397-08002B2CF9AE}" pid="35" name="NOSE33">
    <vt:lpwstr>היטל השבחה</vt:lpwstr>
  </property>
  <property fmtid="{D5CDD505-2E9C-101B-9397-08002B2CF9AE}" pid="36" name="NOSE43">
    <vt:lpwstr/>
  </property>
  <property fmtid="{D5CDD505-2E9C-101B-9397-08002B2CF9AE}" pid="37" name="NOSE14">
    <vt:lpwstr>משפט פרטי וכלכלה</vt:lpwstr>
  </property>
  <property fmtid="{D5CDD505-2E9C-101B-9397-08002B2CF9AE}" pid="38" name="NOSE24">
    <vt:lpwstr>קניין</vt:lpwstr>
  </property>
  <property fmtid="{D5CDD505-2E9C-101B-9397-08002B2CF9AE}" pid="39" name="NOSE34">
    <vt:lpwstr>מקרקעין</vt:lpwstr>
  </property>
  <property fmtid="{D5CDD505-2E9C-101B-9397-08002B2CF9AE}" pid="40" name="NOSE44">
    <vt:lpwstr>מיסוי מקרקעין</vt:lpwstr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http://www.nevo.co.il/Law_word/law06/TAK-8120.pdf;‎רשומות - תקנות כלליות#פורסם ק"ת תשע"ט ‏מס' 8120 #מיום 11.12.2018 עמ' 1486‏</vt:lpwstr>
  </property>
</Properties>
</file>