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72612" w14:textId="77777777" w:rsidR="00E558FF" w:rsidRDefault="00E558FF">
      <w:pPr>
        <w:pStyle w:val="big-header"/>
        <w:ind w:left="0" w:right="1134"/>
        <w:rPr>
          <w:rFonts w:hint="cs"/>
          <w:rtl/>
        </w:rPr>
      </w:pPr>
      <w:r>
        <w:rPr>
          <w:rFonts w:hint="cs"/>
          <w:rtl/>
        </w:rPr>
        <w:t>צו התעבורה (פטור קורקינט חשמלי מהוראות הפקודה), תשס"ד-2004</w:t>
      </w:r>
    </w:p>
    <w:p w14:paraId="45BC427A" w14:textId="77777777" w:rsidR="00683EEA" w:rsidRPr="00683EEA" w:rsidRDefault="00683EEA" w:rsidP="00683EEA">
      <w:pPr>
        <w:spacing w:line="320" w:lineRule="auto"/>
        <w:jc w:val="left"/>
        <w:rPr>
          <w:rStyle w:val="default"/>
          <w:rFonts w:cs="FrankRuehl"/>
          <w:sz w:val="22"/>
          <w:rtl/>
        </w:rPr>
      </w:pPr>
    </w:p>
    <w:p w14:paraId="624F162A" w14:textId="77777777" w:rsidR="00683EEA" w:rsidRDefault="00683EEA" w:rsidP="00683EEA">
      <w:pPr>
        <w:spacing w:line="320" w:lineRule="auto"/>
        <w:jc w:val="left"/>
        <w:rPr>
          <w:rStyle w:val="default"/>
          <w:sz w:val="22"/>
          <w:szCs w:val="22"/>
          <w:rtl/>
        </w:rPr>
      </w:pPr>
    </w:p>
    <w:p w14:paraId="0F122CEA" w14:textId="77777777" w:rsidR="00683EEA" w:rsidRPr="00683EEA" w:rsidRDefault="00683EEA" w:rsidP="00683EEA">
      <w:pPr>
        <w:spacing w:line="320" w:lineRule="auto"/>
        <w:jc w:val="left"/>
        <w:rPr>
          <w:rStyle w:val="default"/>
          <w:rFonts w:cs="Miriam" w:hint="cs"/>
          <w:sz w:val="22"/>
          <w:szCs w:val="22"/>
          <w:rtl/>
        </w:rPr>
      </w:pPr>
      <w:r w:rsidRPr="00683EEA">
        <w:rPr>
          <w:rStyle w:val="default"/>
          <w:rFonts w:cs="Miriam"/>
          <w:sz w:val="22"/>
          <w:szCs w:val="22"/>
          <w:rtl/>
        </w:rPr>
        <w:t>רשויות ומשפט מנהלי</w:t>
      </w:r>
      <w:r w:rsidRPr="00683EEA">
        <w:rPr>
          <w:rStyle w:val="default"/>
          <w:rFonts w:cs="FrankRuehl"/>
          <w:sz w:val="22"/>
          <w:rtl/>
        </w:rPr>
        <w:t xml:space="preserve"> – תעבורה</w:t>
      </w:r>
    </w:p>
    <w:p w14:paraId="4751D6D0" w14:textId="77777777" w:rsidR="00E558FF" w:rsidRDefault="00E558FF">
      <w:pPr>
        <w:pStyle w:val="big-header"/>
        <w:ind w:left="0" w:right="1134"/>
        <w:rPr>
          <w:rFonts w:hint="cs"/>
          <w:rtl/>
        </w:rPr>
      </w:pPr>
      <w:r>
        <w:rPr>
          <w:rFonts w:hint="cs"/>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E558FF" w14:paraId="04B819ED" w14:textId="77777777">
        <w:tblPrEx>
          <w:tblCellMar>
            <w:top w:w="0" w:type="dxa"/>
            <w:bottom w:w="0" w:type="dxa"/>
          </w:tblCellMar>
        </w:tblPrEx>
        <w:trPr>
          <w:jc w:val="right"/>
        </w:trPr>
        <w:tc>
          <w:tcPr>
            <w:tcW w:w="850" w:type="dxa"/>
          </w:tcPr>
          <w:p w14:paraId="29AAC02E" w14:textId="77777777" w:rsidR="00E558FF" w:rsidRDefault="00E558FF">
            <w:pPr>
              <w:spacing w:line="240" w:lineRule="auto"/>
              <w:jc w:val="left"/>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169B7DA7" w14:textId="77777777" w:rsidR="00E558FF" w:rsidRDefault="00E558FF">
            <w:pPr>
              <w:spacing w:line="240" w:lineRule="auto"/>
              <w:jc w:val="left"/>
              <w:rPr>
                <w:sz w:val="24"/>
              </w:rPr>
            </w:pPr>
            <w:hyperlink w:anchor="Seif0" w:tooltip="הגדרה" w:history="1">
              <w:r>
                <w:rPr>
                  <w:rStyle w:val="Hyperlink"/>
                </w:rPr>
                <w:t>Go</w:t>
              </w:r>
            </w:hyperlink>
          </w:p>
        </w:tc>
        <w:tc>
          <w:tcPr>
            <w:tcW w:w="5669" w:type="dxa"/>
          </w:tcPr>
          <w:p w14:paraId="66303A72" w14:textId="77777777" w:rsidR="00E558FF" w:rsidRDefault="00E558FF">
            <w:pPr>
              <w:spacing w:line="240" w:lineRule="auto"/>
              <w:jc w:val="left"/>
              <w:rPr>
                <w:sz w:val="24"/>
                <w:rtl/>
              </w:rPr>
            </w:pPr>
            <w:r>
              <w:rPr>
                <w:sz w:val="24"/>
                <w:rtl/>
              </w:rPr>
              <w:t>הגדרה</w:t>
            </w:r>
          </w:p>
        </w:tc>
        <w:tc>
          <w:tcPr>
            <w:tcW w:w="1247" w:type="dxa"/>
          </w:tcPr>
          <w:p w14:paraId="633F0BE4" w14:textId="77777777" w:rsidR="00E558FF" w:rsidRDefault="00E558FF">
            <w:pPr>
              <w:spacing w:line="240" w:lineRule="auto"/>
              <w:jc w:val="left"/>
              <w:rPr>
                <w:sz w:val="24"/>
              </w:rPr>
            </w:pPr>
            <w:r>
              <w:rPr>
                <w:sz w:val="24"/>
                <w:rtl/>
              </w:rPr>
              <w:t xml:space="preserve">סעיף 1 </w:t>
            </w:r>
          </w:p>
        </w:tc>
      </w:tr>
      <w:tr w:rsidR="00E558FF" w14:paraId="46468D87" w14:textId="77777777">
        <w:tblPrEx>
          <w:tblCellMar>
            <w:top w:w="0" w:type="dxa"/>
            <w:bottom w:w="0" w:type="dxa"/>
          </w:tblCellMar>
        </w:tblPrEx>
        <w:trPr>
          <w:jc w:val="right"/>
        </w:trPr>
        <w:tc>
          <w:tcPr>
            <w:tcW w:w="850" w:type="dxa"/>
          </w:tcPr>
          <w:p w14:paraId="25C74263" w14:textId="77777777" w:rsidR="00E558FF" w:rsidRDefault="00E558FF">
            <w:pPr>
              <w:spacing w:line="240" w:lineRule="auto"/>
              <w:jc w:val="left"/>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684A86A9" w14:textId="77777777" w:rsidR="00E558FF" w:rsidRDefault="00E558FF">
            <w:pPr>
              <w:spacing w:line="240" w:lineRule="auto"/>
              <w:jc w:val="left"/>
              <w:rPr>
                <w:sz w:val="24"/>
              </w:rPr>
            </w:pPr>
            <w:hyperlink w:anchor="Seif1" w:tooltip="פטור מהוראות הפקודה" w:history="1">
              <w:r>
                <w:rPr>
                  <w:rStyle w:val="Hyperlink"/>
                </w:rPr>
                <w:t>Go</w:t>
              </w:r>
            </w:hyperlink>
          </w:p>
        </w:tc>
        <w:tc>
          <w:tcPr>
            <w:tcW w:w="5669" w:type="dxa"/>
          </w:tcPr>
          <w:p w14:paraId="0E1CF22A" w14:textId="77777777" w:rsidR="00E558FF" w:rsidRDefault="00E558FF">
            <w:pPr>
              <w:spacing w:line="240" w:lineRule="auto"/>
              <w:jc w:val="left"/>
              <w:rPr>
                <w:sz w:val="24"/>
                <w:rtl/>
              </w:rPr>
            </w:pPr>
            <w:r>
              <w:rPr>
                <w:sz w:val="24"/>
                <w:rtl/>
              </w:rPr>
              <w:t>פטור מהוראות הפקודה</w:t>
            </w:r>
          </w:p>
        </w:tc>
        <w:tc>
          <w:tcPr>
            <w:tcW w:w="1247" w:type="dxa"/>
          </w:tcPr>
          <w:p w14:paraId="0782F6E6" w14:textId="77777777" w:rsidR="00E558FF" w:rsidRDefault="00E558FF">
            <w:pPr>
              <w:spacing w:line="240" w:lineRule="auto"/>
              <w:jc w:val="left"/>
              <w:rPr>
                <w:sz w:val="24"/>
              </w:rPr>
            </w:pPr>
            <w:r>
              <w:rPr>
                <w:sz w:val="24"/>
                <w:rtl/>
              </w:rPr>
              <w:t xml:space="preserve">סעיף 2 </w:t>
            </w:r>
          </w:p>
        </w:tc>
      </w:tr>
    </w:tbl>
    <w:p w14:paraId="1BB041D2" w14:textId="77777777" w:rsidR="00E558FF" w:rsidRDefault="00E558FF">
      <w:pPr>
        <w:pStyle w:val="big-header"/>
        <w:ind w:left="0" w:right="1134"/>
        <w:rPr>
          <w:rFonts w:hint="cs"/>
          <w:rtl/>
        </w:rPr>
      </w:pPr>
    </w:p>
    <w:p w14:paraId="53D9DD98" w14:textId="77777777" w:rsidR="00E558FF" w:rsidRDefault="00E558FF" w:rsidP="00683EEA">
      <w:pPr>
        <w:pStyle w:val="big-header"/>
        <w:ind w:left="0" w:right="1134"/>
        <w:rPr>
          <w:rStyle w:val="default"/>
          <w:rFonts w:hint="cs"/>
          <w:sz w:val="22"/>
          <w:szCs w:val="22"/>
          <w:rtl/>
        </w:rPr>
      </w:pPr>
      <w:r>
        <w:rPr>
          <w:rtl/>
        </w:rPr>
        <w:br w:type="page"/>
      </w:r>
      <w:r>
        <w:rPr>
          <w:rFonts w:hint="cs"/>
          <w:rtl/>
        </w:rPr>
        <w:lastRenderedPageBreak/>
        <w:t>צו התעבורה (פטור קורקינט חשמלי מהוראות הפקודה), תשס"ד-2004</w:t>
      </w:r>
      <w:r>
        <w:rPr>
          <w:rStyle w:val="default"/>
          <w:sz w:val="22"/>
          <w:szCs w:val="22"/>
          <w:rtl/>
        </w:rPr>
        <w:footnoteReference w:customMarkFollows="1" w:id="1"/>
        <w:t>*</w:t>
      </w:r>
    </w:p>
    <w:p w14:paraId="6816F4EC" w14:textId="77777777" w:rsidR="00E558FF" w:rsidRDefault="00E558FF">
      <w:pPr>
        <w:pStyle w:val="P00"/>
        <w:spacing w:before="72"/>
        <w:ind w:left="0" w:right="1134"/>
        <w:rPr>
          <w:rStyle w:val="default"/>
          <w:rFonts w:cs="FrankRuehl" w:hint="cs"/>
          <w:rtl/>
        </w:rPr>
      </w:pPr>
      <w:r>
        <w:rPr>
          <w:rtl/>
        </w:rPr>
        <w:tab/>
      </w:r>
      <w:r>
        <w:rPr>
          <w:rStyle w:val="default"/>
          <w:rFonts w:cs="FrankRuehl" w:hint="cs"/>
          <w:rtl/>
        </w:rPr>
        <w:t xml:space="preserve">בתוקף סמכותי לפי סעיף 1 לפקודת התעבורה (להלן </w:t>
      </w:r>
      <w:r>
        <w:rPr>
          <w:rStyle w:val="default"/>
          <w:rFonts w:cs="FrankRuehl"/>
          <w:rtl/>
        </w:rPr>
        <w:t>–</w:t>
      </w:r>
      <w:r>
        <w:rPr>
          <w:rStyle w:val="default"/>
          <w:rFonts w:cs="FrankRuehl" w:hint="cs"/>
          <w:rtl/>
        </w:rPr>
        <w:t xml:space="preserve"> הפקודה), אני מצווה לאמור:</w:t>
      </w:r>
    </w:p>
    <w:p w14:paraId="53BEE05E" w14:textId="77777777" w:rsidR="00E558FF" w:rsidRDefault="00E558FF">
      <w:pPr>
        <w:pStyle w:val="P00"/>
        <w:spacing w:before="72"/>
        <w:ind w:left="0" w:right="1134"/>
        <w:rPr>
          <w:rStyle w:val="default"/>
          <w:rFonts w:cs="FrankRuehl" w:hint="cs"/>
          <w:rtl/>
        </w:rPr>
      </w:pPr>
      <w:bookmarkStart w:id="0" w:name="Seif0"/>
      <w:bookmarkEnd w:id="0"/>
      <w:r>
        <w:rPr>
          <w:lang w:val="he-IL"/>
        </w:rPr>
        <w:pict w14:anchorId="3ACB9249">
          <v:rect id="_x0000_s1026" style="position:absolute;left:0;text-align:left;margin-left:462pt;margin-top:8.05pt;width:77.55pt;height:7.6pt;z-index:251657216" o:allowincell="f" filled="f" stroked="f" strokecolor="lime" strokeweight=".25pt">
            <v:textbox style="mso-next-textbox:#_x0000_s1026" inset="0,0,0,0">
              <w:txbxContent>
                <w:p w14:paraId="6202965B" w14:textId="77777777" w:rsidR="00E558FF" w:rsidRDefault="00E558FF">
                  <w:pPr>
                    <w:spacing w:line="160" w:lineRule="exact"/>
                    <w:jc w:val="left"/>
                    <w:rPr>
                      <w:rFonts w:cs="Miriam" w:hint="cs"/>
                      <w:noProof/>
                      <w:szCs w:val="18"/>
                      <w:rtl/>
                    </w:rPr>
                  </w:pPr>
                  <w:r>
                    <w:rPr>
                      <w:rFonts w:cs="Miriam" w:hint="cs"/>
                      <w:szCs w:val="18"/>
                      <w:rtl/>
                    </w:rPr>
                    <w:t>הגדרה</w:t>
                  </w:r>
                </w:p>
              </w:txbxContent>
            </v:textbox>
            <w10:anchorlock/>
          </v:rect>
        </w:pict>
      </w:r>
      <w:r>
        <w:rPr>
          <w:rStyle w:val="big-number"/>
          <w:rtl/>
        </w:rPr>
        <w:t>1</w:t>
      </w:r>
      <w:r>
        <w:rPr>
          <w:rStyle w:val="default"/>
          <w:rFonts w:cs="FrankRuehl"/>
          <w:rtl/>
        </w:rPr>
        <w:t>.</w:t>
      </w:r>
      <w:r>
        <w:rPr>
          <w:rStyle w:val="default"/>
          <w:rFonts w:cs="FrankRuehl"/>
          <w:rtl/>
        </w:rPr>
        <w:tab/>
      </w:r>
      <w:r>
        <w:rPr>
          <w:rStyle w:val="default"/>
          <w:rFonts w:cs="FrankRuehl" w:hint="cs"/>
          <w:rtl/>
        </w:rPr>
        <w:t xml:space="preserve">בצו זה, "קורקינט חשמלי" </w:t>
      </w:r>
      <w:r>
        <w:rPr>
          <w:rStyle w:val="default"/>
          <w:rFonts w:cs="FrankRuehl"/>
          <w:rtl/>
        </w:rPr>
        <w:t>–</w:t>
      </w:r>
      <w:r>
        <w:rPr>
          <w:rStyle w:val="default"/>
          <w:rFonts w:cs="FrankRuehl" w:hint="cs"/>
          <w:rtl/>
        </w:rPr>
        <w:t xml:space="preserve"> רכב בעל שני גלגלים המורכבים בזה אחר זה, המונע במנוע חשמלי, שהספקו אינו עולה על 100 ואט, משקלו העצמי אינו עולה על 12 קילוגרם ומהירות נסיעתו אינה עולה על 12 קילומטר לשעה.</w:t>
      </w:r>
    </w:p>
    <w:p w14:paraId="5CB25FCC" w14:textId="77777777" w:rsidR="00E558FF" w:rsidRDefault="00E558FF">
      <w:pPr>
        <w:pStyle w:val="P00"/>
        <w:spacing w:before="72"/>
        <w:ind w:left="0" w:right="1134"/>
        <w:rPr>
          <w:rStyle w:val="default"/>
          <w:rFonts w:cs="FrankRuehl" w:hint="cs"/>
          <w:rtl/>
        </w:rPr>
      </w:pPr>
      <w:bookmarkStart w:id="1" w:name="Seif1"/>
      <w:bookmarkEnd w:id="1"/>
      <w:r>
        <w:rPr>
          <w:rFonts w:cs="Miriam"/>
          <w:szCs w:val="32"/>
          <w:rtl/>
          <w:lang w:val="he-IL"/>
        </w:rPr>
        <w:pict w14:anchorId="2EB7D243">
          <v:shapetype id="_x0000_t202" coordsize="21600,21600" o:spt="202" path="m,l,21600r21600,l21600,xe">
            <v:stroke joinstyle="miter"/>
            <v:path gradientshapeok="t" o:connecttype="rect"/>
          </v:shapetype>
          <v:shape id="_x0000_s1036" type="#_x0000_t202" style="position:absolute;left:0;text-align:left;margin-left:470.25pt;margin-top:2.2pt;width:1in;height:23.35pt;z-index:251658240" filled="f" stroked="f">
            <v:textbox style="mso-next-textbox:#_x0000_s1036" inset="1mm,,1mm">
              <w:txbxContent>
                <w:p w14:paraId="6F861DEB" w14:textId="77777777" w:rsidR="00E558FF" w:rsidRDefault="00E558FF">
                  <w:pPr>
                    <w:pStyle w:val="3"/>
                    <w:rPr>
                      <w:rFonts w:hint="cs"/>
                      <w:rtl/>
                    </w:rPr>
                  </w:pPr>
                  <w:r>
                    <w:rPr>
                      <w:rFonts w:hint="cs"/>
                      <w:rtl/>
                    </w:rPr>
                    <w:t>פטור מהוראות הפקודה</w:t>
                  </w:r>
                </w:p>
              </w:txbxContent>
            </v:textbox>
            <w10:anchorlock/>
          </v:shape>
        </w:pict>
      </w:r>
      <w:r>
        <w:rPr>
          <w:rStyle w:val="default"/>
          <w:rFonts w:cs="Miriam" w:hint="cs"/>
          <w:sz w:val="32"/>
          <w:szCs w:val="32"/>
          <w:rtl/>
        </w:rPr>
        <w:t>2</w:t>
      </w:r>
      <w:r>
        <w:rPr>
          <w:rStyle w:val="default"/>
          <w:rFonts w:cs="FrankRuehl" w:hint="cs"/>
          <w:rtl/>
        </w:rPr>
        <w:t>.</w:t>
      </w:r>
      <w:r>
        <w:rPr>
          <w:rStyle w:val="default"/>
          <w:rFonts w:cs="FrankRuehl" w:hint="cs"/>
          <w:rtl/>
        </w:rPr>
        <w:tab/>
        <w:t>קורקינט חשמלי פטור מהוראות הפקודה.</w:t>
      </w:r>
    </w:p>
    <w:p w14:paraId="4211F34B" w14:textId="77777777" w:rsidR="00E558FF" w:rsidRDefault="00E558FF">
      <w:pPr>
        <w:pStyle w:val="P00"/>
        <w:spacing w:before="72"/>
        <w:ind w:left="0" w:right="1134"/>
        <w:rPr>
          <w:rStyle w:val="default"/>
          <w:rFonts w:cs="FrankRuehl" w:hint="cs"/>
          <w:rtl/>
        </w:rPr>
      </w:pPr>
    </w:p>
    <w:p w14:paraId="45AF6A73" w14:textId="77777777" w:rsidR="00E558FF" w:rsidRDefault="00E558FF">
      <w:pPr>
        <w:pStyle w:val="P00"/>
        <w:spacing w:before="72"/>
        <w:ind w:left="0" w:right="1134"/>
        <w:rPr>
          <w:rStyle w:val="default"/>
          <w:rFonts w:cs="FrankRuehl" w:hint="cs"/>
          <w:rtl/>
        </w:rPr>
      </w:pPr>
    </w:p>
    <w:p w14:paraId="75938E53" w14:textId="77777777" w:rsidR="00E558FF" w:rsidRDefault="00E558FF">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hint="cs"/>
          <w:rtl/>
        </w:rPr>
        <w:t>כ"ב בתמוז התשס"ד (11 ביולי 2004)</w:t>
      </w:r>
      <w:r>
        <w:rPr>
          <w:rStyle w:val="default"/>
          <w:rFonts w:cs="FrankRuehl" w:hint="cs"/>
          <w:rtl/>
        </w:rPr>
        <w:tab/>
        <w:t>מאיר שטרית</w:t>
      </w:r>
    </w:p>
    <w:p w14:paraId="38C7EA1C" w14:textId="77777777" w:rsidR="00E558FF" w:rsidRDefault="00E558FF">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Pr>
          <w:rStyle w:val="default"/>
          <w:rFonts w:cs="FrankRuehl" w:hint="cs"/>
          <w:sz w:val="22"/>
          <w:szCs w:val="22"/>
          <w:rtl/>
        </w:rPr>
        <w:tab/>
        <w:t>ממלא מקום שר התחבורה</w:t>
      </w:r>
    </w:p>
    <w:p w14:paraId="686CF3A2" w14:textId="77777777" w:rsidR="00E558FF" w:rsidRDefault="00E558FF">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p>
    <w:p w14:paraId="36CB8849" w14:textId="77777777" w:rsidR="00E558FF" w:rsidRDefault="00E558FF">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p>
    <w:p w14:paraId="39382AB7" w14:textId="77777777" w:rsidR="00E558FF" w:rsidRDefault="00E558FF">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p>
    <w:sectPr w:rsidR="00E558FF">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7CCCB" w14:textId="77777777" w:rsidR="009206C8" w:rsidRDefault="009206C8">
      <w:r>
        <w:separator/>
      </w:r>
    </w:p>
  </w:endnote>
  <w:endnote w:type="continuationSeparator" w:id="0">
    <w:p w14:paraId="1DD6131C" w14:textId="77777777" w:rsidR="009206C8" w:rsidRDefault="009206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83EC0" w14:textId="77777777" w:rsidR="00E558FF" w:rsidRDefault="00E558F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25C1E19" w14:textId="77777777" w:rsidR="00E558FF" w:rsidRDefault="00E558F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2FB7076" w14:textId="77777777" w:rsidR="00E558FF" w:rsidRDefault="00E558F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C:\Yael\hakika\Revadim\999_317.doc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D9B46" w14:textId="77777777" w:rsidR="00E558FF" w:rsidRDefault="00E558F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83EEA">
      <w:rPr>
        <w:rFonts w:hAnsi="FrankRuehl" w:cs="FrankRuehl"/>
        <w:noProof/>
        <w:sz w:val="24"/>
        <w:szCs w:val="24"/>
        <w:rtl/>
      </w:rPr>
      <w:t>2</w:t>
    </w:r>
    <w:r>
      <w:rPr>
        <w:rFonts w:hAnsi="FrankRuehl" w:cs="FrankRuehl"/>
        <w:sz w:val="24"/>
        <w:szCs w:val="24"/>
        <w:rtl/>
      </w:rPr>
      <w:fldChar w:fldCharType="end"/>
    </w:r>
  </w:p>
  <w:p w14:paraId="503A9F13" w14:textId="77777777" w:rsidR="00E558FF" w:rsidRDefault="00E558F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3F58327" w14:textId="77777777" w:rsidR="00E558FF" w:rsidRDefault="00E558F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C:\Yael\hakika\Revadim\999_317.doc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A22B7" w14:textId="77777777" w:rsidR="009206C8" w:rsidRDefault="009206C8">
      <w:pPr>
        <w:spacing w:before="60" w:line="240" w:lineRule="auto"/>
        <w:ind w:right="1134"/>
      </w:pPr>
      <w:r>
        <w:separator/>
      </w:r>
    </w:p>
  </w:footnote>
  <w:footnote w:type="continuationSeparator" w:id="0">
    <w:p w14:paraId="59277BB8" w14:textId="77777777" w:rsidR="009206C8" w:rsidRDefault="009206C8">
      <w:r>
        <w:continuationSeparator/>
      </w:r>
    </w:p>
  </w:footnote>
  <w:footnote w:id="1">
    <w:p w14:paraId="1FEDEC7B" w14:textId="77777777" w:rsidR="00E558FF" w:rsidRDefault="00E558FF">
      <w:pPr>
        <w:pStyle w:val="footnote"/>
        <w:tabs>
          <w:tab w:val="left" w:pos="624"/>
          <w:tab w:val="left" w:pos="1021"/>
          <w:tab w:val="left" w:pos="1474"/>
          <w:tab w:val="left" w:pos="1928"/>
          <w:tab w:val="left" w:pos="2381"/>
          <w:tab w:val="left" w:pos="2835"/>
          <w:tab w:val="right" w:leader="dot" w:pos="6259"/>
        </w:tabs>
        <w:spacing w:before="72"/>
        <w:ind w:left="0" w:right="1134"/>
        <w:rPr>
          <w:sz w:val="20"/>
        </w:rPr>
      </w:pPr>
      <w:r>
        <w:rPr>
          <w:sz w:val="20"/>
        </w:rPr>
        <w:t>*</w:t>
      </w:r>
      <w:r>
        <w:rPr>
          <w:rFonts w:hint="cs"/>
          <w:sz w:val="20"/>
          <w:rtl/>
        </w:rPr>
        <w:t xml:space="preserve"> פורסם </w:t>
      </w:r>
      <w:hyperlink r:id="rId1" w:history="1">
        <w:r>
          <w:rPr>
            <w:rStyle w:val="Hyperlink"/>
            <w:rFonts w:hint="cs"/>
            <w:sz w:val="20"/>
            <w:rtl/>
          </w:rPr>
          <w:t>ק"ת תשס"ד מס' 6329</w:t>
        </w:r>
      </w:hyperlink>
      <w:r>
        <w:rPr>
          <w:rFonts w:hint="cs"/>
          <w:sz w:val="20"/>
          <w:rtl/>
        </w:rPr>
        <w:t xml:space="preserve"> מיום 14.7.2004 עמ' 804.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1484A" w14:textId="77777777" w:rsidR="00E558FF" w:rsidRDefault="00E558F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המים (היטלי הפקה), תש"ס- 2000</w:t>
    </w:r>
  </w:p>
  <w:p w14:paraId="159EFC67" w14:textId="77777777" w:rsidR="00E558FF" w:rsidRDefault="00E558F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F45B3C4" w14:textId="77777777" w:rsidR="00E558FF" w:rsidRDefault="00E558FF">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5D291" w14:textId="77777777" w:rsidR="00E558FF" w:rsidRDefault="00E558FF">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צו התעבורה (פטור קורקינט חשמלי מהוראות הפקודה), תשס"ד-2004</w:t>
    </w:r>
  </w:p>
  <w:p w14:paraId="4C4BEB41" w14:textId="77777777" w:rsidR="00E558FF" w:rsidRDefault="00E558F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78CF748" w14:textId="77777777" w:rsidR="00E558FF" w:rsidRDefault="00E558FF">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1mm"/>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558FF"/>
    <w:rsid w:val="00214CBC"/>
    <w:rsid w:val="00683EEA"/>
    <w:rsid w:val="009206C8"/>
    <w:rsid w:val="00B30B16"/>
    <w:rsid w:val="00E558FF"/>
    <w:rsid w:val="00FC7DF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1mm"/>
    </o:shapedefaults>
    <o:shapelayout v:ext="edit">
      <o:idmap v:ext="edit" data="1"/>
    </o:shapelayout>
  </w:shapeDefaults>
  <w:decimalSymbol w:val="."/>
  <w:listSeparator w:val=","/>
  <w14:docId w14:val="0F335EF4"/>
  <w15:chartTrackingRefBased/>
  <w15:docId w15:val="{A20B532F-BA7D-4E05-95BA-FD74095DA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3">
    <w:name w:val="P03"/>
    <w:basedOn w:val="P00"/>
    <w:pPr>
      <w:ind w:right="1474" w:hanging="147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paragraph" w:styleId="2">
    <w:name w:val="Body Text 2"/>
    <w:basedOn w:val="a"/>
    <w:pPr>
      <w:spacing w:line="160" w:lineRule="exact"/>
      <w:jc w:val="left"/>
    </w:pPr>
    <w:rPr>
      <w:rFonts w:cs="Miriam"/>
      <w:szCs w:val="18"/>
    </w:rPr>
  </w:style>
  <w:style w:type="paragraph" w:styleId="3">
    <w:name w:val="Body Text 3"/>
    <w:basedOn w:val="a"/>
    <w:pPr>
      <w:spacing w:line="160" w:lineRule="exact"/>
      <w:jc w:val="left"/>
    </w:pPr>
    <w:rPr>
      <w:rFonts w:cs="Miriam"/>
      <w:szCs w:val="18"/>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Times New Roman"/>
      <w:bCs/>
      <w:sz w:val="24"/>
    </w:rPr>
  </w:style>
  <w:style w:type="paragraph" w:customStyle="1" w:styleId="header-2">
    <w:name w:val="header-2"/>
    <w:basedOn w:val="P00"/>
    <w:pPr>
      <w:keepNext/>
      <w:keepLines/>
      <w:tabs>
        <w:tab w:val="clear" w:pos="6259"/>
      </w:tabs>
      <w:spacing w:before="240"/>
      <w:jc w:val="center"/>
    </w:pPr>
    <w:rPr>
      <w:rFonts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32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108</Words>
  <Characters>618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פרק 235</vt:lpstr>
    </vt:vector>
  </TitlesOfParts>
  <Company/>
  <LinksUpToDate>false</LinksUpToDate>
  <CharactersWithSpaces>725</CharactersWithSpaces>
  <SharedDoc>false</SharedDoc>
  <HLinks>
    <vt:vector size="18" baseType="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8192002</vt:i4>
      </vt:variant>
      <vt:variant>
        <vt:i4>0</vt:i4>
      </vt:variant>
      <vt:variant>
        <vt:i4>0</vt:i4>
      </vt:variant>
      <vt:variant>
        <vt:i4>5</vt:i4>
      </vt:variant>
      <vt:variant>
        <vt:lpwstr>http://www.nevo.co.il/Law_word/law06/TAK-6329.pdf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235</dc:title>
  <dc:subject/>
  <dc:creator>eli</dc:creator>
  <cp:keywords/>
  <dc:description/>
  <cp:lastModifiedBy>Shimon Doodkin</cp:lastModifiedBy>
  <cp:revision>2</cp:revision>
  <dcterms:created xsi:type="dcterms:W3CDTF">2023-06-05T19:19:00Z</dcterms:created>
  <dcterms:modified xsi:type="dcterms:W3CDTF">2023-06-05T19:19:00Z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צו התעבורה (פטור קורקינט חשמלי מהוראות הפקודה), תשס"ד-2004</vt:lpwstr>
  </property>
  <property fmtid="{D5CDD505-2E9C-101B-9397-08002B2CF9AE}" pid="4" name="LAWNUMBER">
    <vt:lpwstr>0317</vt:lpwstr>
  </property>
  <property fmtid="{D5CDD505-2E9C-101B-9397-08002B2CF9AE}" pid="5" name="TYPE">
    <vt:lpwstr>01</vt:lpwstr>
  </property>
  <property fmtid="{D5CDD505-2E9C-101B-9397-08002B2CF9AE}" pid="6" name="CHNAME">
    <vt:lpwstr>תעבורה</vt:lpwstr>
  </property>
  <property fmtid="{D5CDD505-2E9C-101B-9397-08002B2CF9AE}" pid="7" name="LINKK1">
    <vt:lpwstr>http://www.nevo.co.il/Law_word/law06/TAK-6329.pdf;רשומות - תקנות כלליות#פורסמו ק"ת תשס"ד מס' 6329#מיום 14.7.2004 עמ' 804</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MEKOR_NAME1">
    <vt:lpwstr>פקודת התעבורה </vt:lpwstr>
  </property>
  <property fmtid="{D5CDD505-2E9C-101B-9397-08002B2CF9AE}" pid="18" name="MEKOR_SAIF1">
    <vt:lpwstr>1X</vt:lpwstr>
  </property>
  <property fmtid="{D5CDD505-2E9C-101B-9397-08002B2CF9AE}" pid="19" name="NOSE11">
    <vt:lpwstr>רשויות ומשפט מנהלי</vt:lpwstr>
  </property>
  <property fmtid="{D5CDD505-2E9C-101B-9397-08002B2CF9AE}" pid="20" name="NOSE21">
    <vt:lpwstr>תעבורה</vt:lpwstr>
  </property>
  <property fmtid="{D5CDD505-2E9C-101B-9397-08002B2CF9AE}" pid="21" name="NOSE31">
    <vt:lpwstr/>
  </property>
  <property fmtid="{D5CDD505-2E9C-101B-9397-08002B2CF9AE}" pid="22" name="NOSE41">
    <vt:lpwstr/>
  </property>
  <property fmtid="{D5CDD505-2E9C-101B-9397-08002B2CF9AE}" pid="23" name="NOSE12">
    <vt:lpwstr/>
  </property>
  <property fmtid="{D5CDD505-2E9C-101B-9397-08002B2CF9AE}" pid="24" name="NOSE22">
    <vt:lpwstr/>
  </property>
  <property fmtid="{D5CDD505-2E9C-101B-9397-08002B2CF9AE}" pid="25" name="NOSE32">
    <vt:lpwstr/>
  </property>
  <property fmtid="{D5CDD505-2E9C-101B-9397-08002B2CF9AE}" pid="26" name="NOSE42">
    <vt:lpwstr/>
  </property>
  <property fmtid="{D5CDD505-2E9C-101B-9397-08002B2CF9AE}" pid="27" name="NOSE13">
    <vt:lpwstr/>
  </property>
  <property fmtid="{D5CDD505-2E9C-101B-9397-08002B2CF9AE}" pid="28" name="NOSE23">
    <vt:lpwstr/>
  </property>
  <property fmtid="{D5CDD505-2E9C-101B-9397-08002B2CF9AE}" pid="29" name="NOSE33">
    <vt:lpwstr/>
  </property>
  <property fmtid="{D5CDD505-2E9C-101B-9397-08002B2CF9AE}" pid="30" name="NOSE43">
    <vt:lpwstr/>
  </property>
  <property fmtid="{D5CDD505-2E9C-101B-9397-08002B2CF9AE}" pid="31" name="NOSE14">
    <vt:lpwstr/>
  </property>
  <property fmtid="{D5CDD505-2E9C-101B-9397-08002B2CF9AE}" pid="32" name="NOSE24">
    <vt:lpwstr/>
  </property>
  <property fmtid="{D5CDD505-2E9C-101B-9397-08002B2CF9AE}" pid="33" name="NOSE34">
    <vt:lpwstr/>
  </property>
  <property fmtid="{D5CDD505-2E9C-101B-9397-08002B2CF9AE}" pid="34" name="NOSE44">
    <vt:lpwstr/>
  </property>
  <property fmtid="{D5CDD505-2E9C-101B-9397-08002B2CF9AE}" pid="35" name="NOSE15">
    <vt:lpwstr/>
  </property>
  <property fmtid="{D5CDD505-2E9C-101B-9397-08002B2CF9AE}" pid="36" name="NOSE25">
    <vt:lpwstr/>
  </property>
  <property fmtid="{D5CDD505-2E9C-101B-9397-08002B2CF9AE}" pid="37" name="NOSE35">
    <vt:lpwstr/>
  </property>
  <property fmtid="{D5CDD505-2E9C-101B-9397-08002B2CF9AE}" pid="38" name="NOSE45">
    <vt:lpwstr/>
  </property>
  <property fmtid="{D5CDD505-2E9C-101B-9397-08002B2CF9AE}" pid="39" name="NOSE16">
    <vt:lpwstr/>
  </property>
  <property fmtid="{D5CDD505-2E9C-101B-9397-08002B2CF9AE}" pid="40" name="NOSE26">
    <vt:lpwstr/>
  </property>
  <property fmtid="{D5CDD505-2E9C-101B-9397-08002B2CF9AE}" pid="41" name="NOSE36">
    <vt:lpwstr/>
  </property>
  <property fmtid="{D5CDD505-2E9C-101B-9397-08002B2CF9AE}" pid="42" name="NOSE46">
    <vt:lpwstr/>
  </property>
  <property fmtid="{D5CDD505-2E9C-101B-9397-08002B2CF9AE}" pid="43" name="NOSE17">
    <vt:lpwstr/>
  </property>
  <property fmtid="{D5CDD505-2E9C-101B-9397-08002B2CF9AE}" pid="44" name="NOSE27">
    <vt:lpwstr/>
  </property>
  <property fmtid="{D5CDD505-2E9C-101B-9397-08002B2CF9AE}" pid="45" name="NOSE37">
    <vt:lpwstr/>
  </property>
  <property fmtid="{D5CDD505-2E9C-101B-9397-08002B2CF9AE}" pid="46" name="NOSE47">
    <vt:lpwstr/>
  </property>
  <property fmtid="{D5CDD505-2E9C-101B-9397-08002B2CF9AE}" pid="47" name="NOSE18">
    <vt:lpwstr/>
  </property>
  <property fmtid="{D5CDD505-2E9C-101B-9397-08002B2CF9AE}" pid="48" name="NOSE28">
    <vt:lpwstr/>
  </property>
  <property fmtid="{D5CDD505-2E9C-101B-9397-08002B2CF9AE}" pid="49" name="NOSE38">
    <vt:lpwstr/>
  </property>
  <property fmtid="{D5CDD505-2E9C-101B-9397-08002B2CF9AE}" pid="50" name="NOSE48">
    <vt:lpwstr/>
  </property>
  <property fmtid="{D5CDD505-2E9C-101B-9397-08002B2CF9AE}" pid="51" name="NOSE19">
    <vt:lpwstr/>
  </property>
  <property fmtid="{D5CDD505-2E9C-101B-9397-08002B2CF9AE}" pid="52" name="NOSE29">
    <vt:lpwstr/>
  </property>
  <property fmtid="{D5CDD505-2E9C-101B-9397-08002B2CF9AE}" pid="53" name="NOSE39">
    <vt:lpwstr/>
  </property>
  <property fmtid="{D5CDD505-2E9C-101B-9397-08002B2CF9AE}" pid="54" name="NOSE49">
    <vt:lpwstr/>
  </property>
  <property fmtid="{D5CDD505-2E9C-101B-9397-08002B2CF9AE}" pid="55" name="NOSE110">
    <vt:lpwstr/>
  </property>
  <property fmtid="{D5CDD505-2E9C-101B-9397-08002B2CF9AE}" pid="56" name="NOSE210">
    <vt:lpwstr/>
  </property>
  <property fmtid="{D5CDD505-2E9C-101B-9397-08002B2CF9AE}" pid="57" name="NOSE310">
    <vt:lpwstr/>
  </property>
  <property fmtid="{D5CDD505-2E9C-101B-9397-08002B2CF9AE}" pid="58" name="NOSE410">
    <vt:lpwstr/>
  </property>
</Properties>
</file>