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09B66" w14:textId="77777777" w:rsidR="00D25D5C" w:rsidRDefault="0011648D" w:rsidP="007264C8">
      <w:pPr>
        <w:pStyle w:val="big-header"/>
        <w:ind w:left="0" w:right="1134"/>
        <w:rPr>
          <w:rFonts w:cs="FrankRuehl" w:hint="cs"/>
          <w:sz w:val="32"/>
          <w:rtl/>
        </w:rPr>
      </w:pPr>
      <w:r>
        <w:rPr>
          <w:rFonts w:cs="FrankRuehl" w:hint="cs"/>
          <w:sz w:val="32"/>
          <w:rtl/>
        </w:rPr>
        <w:t>צו התקשורת (בזק ושידורים) (</w:t>
      </w:r>
      <w:r w:rsidR="007264C8">
        <w:rPr>
          <w:rFonts w:cs="FrankRuehl" w:hint="cs"/>
          <w:sz w:val="32"/>
          <w:rtl/>
        </w:rPr>
        <w:t>פטור מאישור סוג לציוד קצה), תשע"ד-2014</w:t>
      </w:r>
    </w:p>
    <w:p w14:paraId="7F7694A8" w14:textId="77777777" w:rsidR="0011648D" w:rsidRPr="0011648D" w:rsidRDefault="0011648D" w:rsidP="0011648D">
      <w:pPr>
        <w:spacing w:line="320" w:lineRule="auto"/>
        <w:rPr>
          <w:rFonts w:cs="FrankRuehl"/>
          <w:szCs w:val="26"/>
          <w:rtl/>
        </w:rPr>
      </w:pPr>
    </w:p>
    <w:p w14:paraId="0331F3EF" w14:textId="77777777" w:rsidR="0011648D" w:rsidRDefault="0011648D" w:rsidP="0011648D">
      <w:pPr>
        <w:spacing w:line="320" w:lineRule="auto"/>
        <w:rPr>
          <w:rtl/>
        </w:rPr>
      </w:pPr>
    </w:p>
    <w:p w14:paraId="2E67D7E4" w14:textId="77777777" w:rsidR="0011648D" w:rsidRPr="0011648D" w:rsidRDefault="0011648D" w:rsidP="0011648D">
      <w:pPr>
        <w:spacing w:line="320" w:lineRule="auto"/>
        <w:rPr>
          <w:rFonts w:cs="Miriam" w:hint="cs"/>
          <w:szCs w:val="22"/>
          <w:rtl/>
        </w:rPr>
      </w:pPr>
      <w:r w:rsidRPr="0011648D">
        <w:rPr>
          <w:rFonts w:cs="Miriam"/>
          <w:szCs w:val="22"/>
          <w:rtl/>
        </w:rPr>
        <w:t>רשויות ומשפט מנהלי</w:t>
      </w:r>
      <w:r w:rsidRPr="0011648D">
        <w:rPr>
          <w:rFonts w:cs="FrankRuehl"/>
          <w:szCs w:val="26"/>
          <w:rtl/>
        </w:rPr>
        <w:t xml:space="preserve"> – תקשורת – בזק ושידורים – רישיון</w:t>
      </w:r>
    </w:p>
    <w:p w14:paraId="60D204EB" w14:textId="77777777"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C6080" w:rsidRPr="009C6080" w14:paraId="2AEC3CE3" w14:textId="77777777">
        <w:tblPrEx>
          <w:tblCellMar>
            <w:top w:w="0" w:type="dxa"/>
            <w:bottom w:w="0" w:type="dxa"/>
          </w:tblCellMar>
        </w:tblPrEx>
        <w:tc>
          <w:tcPr>
            <w:tcW w:w="1247" w:type="dxa"/>
          </w:tcPr>
          <w:p w14:paraId="741399F6" w14:textId="77777777" w:rsidR="009C6080" w:rsidRPr="009C6080" w:rsidRDefault="009C6080" w:rsidP="009C6080">
            <w:pPr>
              <w:rPr>
                <w:rFonts w:cs="Frankruhel"/>
                <w:rtl/>
              </w:rPr>
            </w:pPr>
            <w:r>
              <w:rPr>
                <w:rtl/>
              </w:rPr>
              <w:t xml:space="preserve">סעיף 1 </w:t>
            </w:r>
          </w:p>
        </w:tc>
        <w:tc>
          <w:tcPr>
            <w:tcW w:w="5669" w:type="dxa"/>
          </w:tcPr>
          <w:p w14:paraId="2F067678" w14:textId="77777777" w:rsidR="009C6080" w:rsidRPr="009C6080" w:rsidRDefault="009C6080" w:rsidP="009C6080">
            <w:pPr>
              <w:rPr>
                <w:rFonts w:cs="Frankruhel"/>
                <w:rtl/>
              </w:rPr>
            </w:pPr>
            <w:r>
              <w:rPr>
                <w:rtl/>
              </w:rPr>
              <w:t>הגדרות</w:t>
            </w:r>
          </w:p>
        </w:tc>
        <w:tc>
          <w:tcPr>
            <w:tcW w:w="567" w:type="dxa"/>
          </w:tcPr>
          <w:p w14:paraId="25FB9610" w14:textId="77777777" w:rsidR="009C6080" w:rsidRPr="009C6080" w:rsidRDefault="009C6080" w:rsidP="009C6080">
            <w:pPr>
              <w:rPr>
                <w:rStyle w:val="Hyperlink"/>
                <w:rtl/>
              </w:rPr>
            </w:pPr>
            <w:hyperlink w:anchor="Seif1" w:tooltip="הגדרות" w:history="1">
              <w:r w:rsidRPr="009C6080">
                <w:rPr>
                  <w:rStyle w:val="Hyperlink"/>
                </w:rPr>
                <w:t>Go</w:t>
              </w:r>
            </w:hyperlink>
          </w:p>
        </w:tc>
        <w:tc>
          <w:tcPr>
            <w:tcW w:w="850" w:type="dxa"/>
          </w:tcPr>
          <w:p w14:paraId="3FB8ADB1" w14:textId="77777777" w:rsidR="009C6080" w:rsidRPr="009C6080" w:rsidRDefault="009C6080" w:rsidP="009C608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9C6080" w:rsidRPr="009C6080" w14:paraId="32745CA8" w14:textId="77777777">
        <w:tblPrEx>
          <w:tblCellMar>
            <w:top w:w="0" w:type="dxa"/>
            <w:bottom w:w="0" w:type="dxa"/>
          </w:tblCellMar>
        </w:tblPrEx>
        <w:tc>
          <w:tcPr>
            <w:tcW w:w="1247" w:type="dxa"/>
          </w:tcPr>
          <w:p w14:paraId="43E8A549" w14:textId="77777777" w:rsidR="009C6080" w:rsidRPr="009C6080" w:rsidRDefault="009C6080" w:rsidP="009C6080">
            <w:pPr>
              <w:rPr>
                <w:rFonts w:cs="Frankruhel"/>
                <w:rtl/>
              </w:rPr>
            </w:pPr>
            <w:r>
              <w:rPr>
                <w:rtl/>
              </w:rPr>
              <w:t xml:space="preserve">סעיף 2 </w:t>
            </w:r>
          </w:p>
        </w:tc>
        <w:tc>
          <w:tcPr>
            <w:tcW w:w="5669" w:type="dxa"/>
          </w:tcPr>
          <w:p w14:paraId="4F19ACAC" w14:textId="77777777" w:rsidR="009C6080" w:rsidRPr="009C6080" w:rsidRDefault="009C6080" w:rsidP="009C6080">
            <w:pPr>
              <w:rPr>
                <w:rFonts w:cs="Frankruhel"/>
                <w:rtl/>
              </w:rPr>
            </w:pPr>
            <w:r>
              <w:rPr>
                <w:rtl/>
              </w:rPr>
              <w:t>פטור מאישור סוג</w:t>
            </w:r>
          </w:p>
        </w:tc>
        <w:tc>
          <w:tcPr>
            <w:tcW w:w="567" w:type="dxa"/>
          </w:tcPr>
          <w:p w14:paraId="27022372" w14:textId="77777777" w:rsidR="009C6080" w:rsidRPr="009C6080" w:rsidRDefault="009C6080" w:rsidP="009C6080">
            <w:pPr>
              <w:rPr>
                <w:rStyle w:val="Hyperlink"/>
                <w:rtl/>
              </w:rPr>
            </w:pPr>
            <w:hyperlink w:anchor="Seif2" w:tooltip="פטור מאישור סוג" w:history="1">
              <w:r w:rsidRPr="009C6080">
                <w:rPr>
                  <w:rStyle w:val="Hyperlink"/>
                </w:rPr>
                <w:t>Go</w:t>
              </w:r>
            </w:hyperlink>
          </w:p>
        </w:tc>
        <w:tc>
          <w:tcPr>
            <w:tcW w:w="850" w:type="dxa"/>
          </w:tcPr>
          <w:p w14:paraId="1816818A" w14:textId="77777777" w:rsidR="009C6080" w:rsidRPr="009C6080" w:rsidRDefault="009C6080" w:rsidP="009C608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9C6080" w:rsidRPr="009C6080" w14:paraId="032B48EA" w14:textId="77777777">
        <w:tblPrEx>
          <w:tblCellMar>
            <w:top w:w="0" w:type="dxa"/>
            <w:bottom w:w="0" w:type="dxa"/>
          </w:tblCellMar>
        </w:tblPrEx>
        <w:tc>
          <w:tcPr>
            <w:tcW w:w="1247" w:type="dxa"/>
          </w:tcPr>
          <w:p w14:paraId="3513647C" w14:textId="77777777" w:rsidR="009C6080" w:rsidRPr="009C6080" w:rsidRDefault="009C6080" w:rsidP="009C6080">
            <w:pPr>
              <w:rPr>
                <w:rFonts w:cs="Frankruhel"/>
                <w:rtl/>
              </w:rPr>
            </w:pPr>
            <w:r>
              <w:rPr>
                <w:rtl/>
              </w:rPr>
              <w:t xml:space="preserve">סעיף 3 </w:t>
            </w:r>
          </w:p>
        </w:tc>
        <w:tc>
          <w:tcPr>
            <w:tcW w:w="5669" w:type="dxa"/>
          </w:tcPr>
          <w:p w14:paraId="4402BF84" w14:textId="77777777" w:rsidR="009C6080" w:rsidRPr="009C6080" w:rsidRDefault="009C6080" w:rsidP="009C6080">
            <w:pPr>
              <w:rPr>
                <w:rFonts w:cs="Frankruhel"/>
                <w:rtl/>
              </w:rPr>
            </w:pPr>
            <w:r>
              <w:rPr>
                <w:rtl/>
              </w:rPr>
              <w:t>דרישת מידע</w:t>
            </w:r>
          </w:p>
        </w:tc>
        <w:tc>
          <w:tcPr>
            <w:tcW w:w="567" w:type="dxa"/>
          </w:tcPr>
          <w:p w14:paraId="3879F5F5" w14:textId="77777777" w:rsidR="009C6080" w:rsidRPr="009C6080" w:rsidRDefault="009C6080" w:rsidP="009C6080">
            <w:pPr>
              <w:rPr>
                <w:rStyle w:val="Hyperlink"/>
                <w:rtl/>
              </w:rPr>
            </w:pPr>
            <w:hyperlink w:anchor="Seif3" w:tooltip="דרישת מידע" w:history="1">
              <w:r w:rsidRPr="009C6080">
                <w:rPr>
                  <w:rStyle w:val="Hyperlink"/>
                </w:rPr>
                <w:t>Go</w:t>
              </w:r>
            </w:hyperlink>
          </w:p>
        </w:tc>
        <w:tc>
          <w:tcPr>
            <w:tcW w:w="850" w:type="dxa"/>
          </w:tcPr>
          <w:p w14:paraId="39DD8B06" w14:textId="77777777" w:rsidR="009C6080" w:rsidRPr="009C6080" w:rsidRDefault="009C6080" w:rsidP="009C608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9C6080" w:rsidRPr="009C6080" w14:paraId="3C3E74B8" w14:textId="77777777">
        <w:tblPrEx>
          <w:tblCellMar>
            <w:top w:w="0" w:type="dxa"/>
            <w:bottom w:w="0" w:type="dxa"/>
          </w:tblCellMar>
        </w:tblPrEx>
        <w:tc>
          <w:tcPr>
            <w:tcW w:w="1247" w:type="dxa"/>
          </w:tcPr>
          <w:p w14:paraId="2E98E36B" w14:textId="77777777" w:rsidR="009C6080" w:rsidRPr="009C6080" w:rsidRDefault="009C6080" w:rsidP="009C6080">
            <w:pPr>
              <w:rPr>
                <w:rFonts w:cs="Frankruhel"/>
                <w:rtl/>
              </w:rPr>
            </w:pPr>
            <w:r>
              <w:rPr>
                <w:rtl/>
              </w:rPr>
              <w:t xml:space="preserve">סעיף 4 </w:t>
            </w:r>
          </w:p>
        </w:tc>
        <w:tc>
          <w:tcPr>
            <w:tcW w:w="5669" w:type="dxa"/>
          </w:tcPr>
          <w:p w14:paraId="3A59525F" w14:textId="77777777" w:rsidR="009C6080" w:rsidRPr="009C6080" w:rsidRDefault="009C6080" w:rsidP="009C6080">
            <w:pPr>
              <w:rPr>
                <w:rFonts w:cs="Frankruhel"/>
                <w:rtl/>
              </w:rPr>
            </w:pPr>
            <w:r>
              <w:rPr>
                <w:rtl/>
              </w:rPr>
              <w:t>הפסקת סחר והודעה בדבר מסוכנות</w:t>
            </w:r>
          </w:p>
        </w:tc>
        <w:tc>
          <w:tcPr>
            <w:tcW w:w="567" w:type="dxa"/>
          </w:tcPr>
          <w:p w14:paraId="0FB9D078" w14:textId="77777777" w:rsidR="009C6080" w:rsidRPr="009C6080" w:rsidRDefault="009C6080" w:rsidP="009C6080">
            <w:pPr>
              <w:rPr>
                <w:rStyle w:val="Hyperlink"/>
                <w:rtl/>
              </w:rPr>
            </w:pPr>
            <w:hyperlink w:anchor="Seif4" w:tooltip="הפסקת סחר והודעה בדבר מסוכנות" w:history="1">
              <w:r w:rsidRPr="009C6080">
                <w:rPr>
                  <w:rStyle w:val="Hyperlink"/>
                </w:rPr>
                <w:t>Go</w:t>
              </w:r>
            </w:hyperlink>
          </w:p>
        </w:tc>
        <w:tc>
          <w:tcPr>
            <w:tcW w:w="850" w:type="dxa"/>
          </w:tcPr>
          <w:p w14:paraId="667F49C8" w14:textId="77777777" w:rsidR="009C6080" w:rsidRPr="009C6080" w:rsidRDefault="009C6080" w:rsidP="009C608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9C6080" w:rsidRPr="009C6080" w14:paraId="6E75E6D4" w14:textId="77777777">
        <w:tblPrEx>
          <w:tblCellMar>
            <w:top w:w="0" w:type="dxa"/>
            <w:bottom w:w="0" w:type="dxa"/>
          </w:tblCellMar>
        </w:tblPrEx>
        <w:tc>
          <w:tcPr>
            <w:tcW w:w="1247" w:type="dxa"/>
          </w:tcPr>
          <w:p w14:paraId="4310825F" w14:textId="77777777" w:rsidR="009C6080" w:rsidRPr="009C6080" w:rsidRDefault="009C6080" w:rsidP="009C6080">
            <w:pPr>
              <w:rPr>
                <w:rFonts w:cs="Frankruhel"/>
                <w:rtl/>
              </w:rPr>
            </w:pPr>
            <w:r>
              <w:rPr>
                <w:rtl/>
              </w:rPr>
              <w:t xml:space="preserve">סעיף 5 </w:t>
            </w:r>
          </w:p>
        </w:tc>
        <w:tc>
          <w:tcPr>
            <w:tcW w:w="5669" w:type="dxa"/>
          </w:tcPr>
          <w:p w14:paraId="6B6653F2" w14:textId="77777777" w:rsidR="009C6080" w:rsidRPr="009C6080" w:rsidRDefault="009C6080" w:rsidP="009C6080">
            <w:pPr>
              <w:rPr>
                <w:rFonts w:cs="Frankruhel"/>
                <w:rtl/>
              </w:rPr>
            </w:pPr>
            <w:r>
              <w:rPr>
                <w:rtl/>
              </w:rPr>
              <w:t>אכרזה על מפרט תקן רשמי, החלפתו או שינויו</w:t>
            </w:r>
          </w:p>
        </w:tc>
        <w:tc>
          <w:tcPr>
            <w:tcW w:w="567" w:type="dxa"/>
          </w:tcPr>
          <w:p w14:paraId="4FAF5829" w14:textId="77777777" w:rsidR="009C6080" w:rsidRPr="009C6080" w:rsidRDefault="009C6080" w:rsidP="009C6080">
            <w:pPr>
              <w:rPr>
                <w:rStyle w:val="Hyperlink"/>
                <w:rtl/>
              </w:rPr>
            </w:pPr>
            <w:hyperlink w:anchor="Seif5" w:tooltip="אכרזה על מפרט תקן רשמי, החלפתו או שינויו" w:history="1">
              <w:r w:rsidRPr="009C6080">
                <w:rPr>
                  <w:rStyle w:val="Hyperlink"/>
                </w:rPr>
                <w:t>Go</w:t>
              </w:r>
            </w:hyperlink>
          </w:p>
        </w:tc>
        <w:tc>
          <w:tcPr>
            <w:tcW w:w="850" w:type="dxa"/>
          </w:tcPr>
          <w:p w14:paraId="14D5F071" w14:textId="77777777" w:rsidR="009C6080" w:rsidRPr="009C6080" w:rsidRDefault="009C6080" w:rsidP="009C608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9C6080" w:rsidRPr="009C6080" w14:paraId="2D5A23D6" w14:textId="77777777">
        <w:tblPrEx>
          <w:tblCellMar>
            <w:top w:w="0" w:type="dxa"/>
            <w:bottom w:w="0" w:type="dxa"/>
          </w:tblCellMar>
        </w:tblPrEx>
        <w:tc>
          <w:tcPr>
            <w:tcW w:w="1247" w:type="dxa"/>
          </w:tcPr>
          <w:p w14:paraId="3C2553AB" w14:textId="77777777" w:rsidR="009C6080" w:rsidRPr="009C6080" w:rsidRDefault="009C6080" w:rsidP="009C6080">
            <w:pPr>
              <w:rPr>
                <w:rFonts w:cs="Frankruhel"/>
                <w:rtl/>
              </w:rPr>
            </w:pPr>
            <w:r>
              <w:rPr>
                <w:rtl/>
              </w:rPr>
              <w:t xml:space="preserve">סעיף 6 </w:t>
            </w:r>
          </w:p>
        </w:tc>
        <w:tc>
          <w:tcPr>
            <w:tcW w:w="5669" w:type="dxa"/>
          </w:tcPr>
          <w:p w14:paraId="7F079C50" w14:textId="77777777" w:rsidR="009C6080" w:rsidRPr="009C6080" w:rsidRDefault="009C6080" w:rsidP="009C6080">
            <w:pPr>
              <w:rPr>
                <w:rFonts w:cs="Frankruhel"/>
                <w:rtl/>
              </w:rPr>
            </w:pPr>
            <w:r>
              <w:rPr>
                <w:rtl/>
              </w:rPr>
              <w:t>קביעת מועד כניסה לתוקף של שינוי מפרט</w:t>
            </w:r>
          </w:p>
        </w:tc>
        <w:tc>
          <w:tcPr>
            <w:tcW w:w="567" w:type="dxa"/>
          </w:tcPr>
          <w:p w14:paraId="6204970E" w14:textId="77777777" w:rsidR="009C6080" w:rsidRPr="009C6080" w:rsidRDefault="009C6080" w:rsidP="009C6080">
            <w:pPr>
              <w:rPr>
                <w:rStyle w:val="Hyperlink"/>
                <w:rtl/>
              </w:rPr>
            </w:pPr>
            <w:hyperlink w:anchor="Seif6" w:tooltip="קביעת מועד כניסה לתוקף של שינוי מפרט" w:history="1">
              <w:r w:rsidRPr="009C6080">
                <w:rPr>
                  <w:rStyle w:val="Hyperlink"/>
                </w:rPr>
                <w:t>Go</w:t>
              </w:r>
            </w:hyperlink>
          </w:p>
        </w:tc>
        <w:tc>
          <w:tcPr>
            <w:tcW w:w="850" w:type="dxa"/>
          </w:tcPr>
          <w:p w14:paraId="6523E6CD" w14:textId="77777777" w:rsidR="009C6080" w:rsidRPr="009C6080" w:rsidRDefault="009C6080" w:rsidP="009C608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9C6080" w:rsidRPr="009C6080" w14:paraId="1AACE7AC" w14:textId="77777777">
        <w:tblPrEx>
          <w:tblCellMar>
            <w:top w:w="0" w:type="dxa"/>
            <w:bottom w:w="0" w:type="dxa"/>
          </w:tblCellMar>
        </w:tblPrEx>
        <w:tc>
          <w:tcPr>
            <w:tcW w:w="1247" w:type="dxa"/>
          </w:tcPr>
          <w:p w14:paraId="761D88A7" w14:textId="77777777" w:rsidR="009C6080" w:rsidRPr="009C6080" w:rsidRDefault="009C6080" w:rsidP="009C6080">
            <w:pPr>
              <w:rPr>
                <w:rFonts w:cs="Frankruhel"/>
                <w:rtl/>
              </w:rPr>
            </w:pPr>
            <w:r>
              <w:rPr>
                <w:rtl/>
              </w:rPr>
              <w:t xml:space="preserve">סעיף 7 </w:t>
            </w:r>
          </w:p>
        </w:tc>
        <w:tc>
          <w:tcPr>
            <w:tcW w:w="5669" w:type="dxa"/>
          </w:tcPr>
          <w:p w14:paraId="66106C8C" w14:textId="77777777" w:rsidR="009C6080" w:rsidRPr="009C6080" w:rsidRDefault="009C6080" w:rsidP="009C6080">
            <w:pPr>
              <w:rPr>
                <w:rFonts w:cs="Frankruhel"/>
                <w:rtl/>
              </w:rPr>
            </w:pPr>
            <w:r>
              <w:rPr>
                <w:rtl/>
              </w:rPr>
              <w:t>פרסום</w:t>
            </w:r>
          </w:p>
        </w:tc>
        <w:tc>
          <w:tcPr>
            <w:tcW w:w="567" w:type="dxa"/>
          </w:tcPr>
          <w:p w14:paraId="1F2116B2" w14:textId="77777777" w:rsidR="009C6080" w:rsidRPr="009C6080" w:rsidRDefault="009C6080" w:rsidP="009C6080">
            <w:pPr>
              <w:rPr>
                <w:rStyle w:val="Hyperlink"/>
                <w:rtl/>
              </w:rPr>
            </w:pPr>
            <w:hyperlink w:anchor="Seif7" w:tooltip="פרסום" w:history="1">
              <w:r w:rsidRPr="009C6080">
                <w:rPr>
                  <w:rStyle w:val="Hyperlink"/>
                </w:rPr>
                <w:t>Go</w:t>
              </w:r>
            </w:hyperlink>
          </w:p>
        </w:tc>
        <w:tc>
          <w:tcPr>
            <w:tcW w:w="850" w:type="dxa"/>
          </w:tcPr>
          <w:p w14:paraId="53706A5A" w14:textId="77777777" w:rsidR="009C6080" w:rsidRPr="009C6080" w:rsidRDefault="009C6080" w:rsidP="009C608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9C6080" w:rsidRPr="009C6080" w14:paraId="037A3CD5" w14:textId="77777777">
        <w:tblPrEx>
          <w:tblCellMar>
            <w:top w:w="0" w:type="dxa"/>
            <w:bottom w:w="0" w:type="dxa"/>
          </w:tblCellMar>
        </w:tblPrEx>
        <w:tc>
          <w:tcPr>
            <w:tcW w:w="1247" w:type="dxa"/>
          </w:tcPr>
          <w:p w14:paraId="76407751" w14:textId="77777777" w:rsidR="009C6080" w:rsidRPr="009C6080" w:rsidRDefault="009C6080" w:rsidP="009C6080">
            <w:pPr>
              <w:rPr>
                <w:rFonts w:cs="Frankruhel"/>
                <w:rtl/>
              </w:rPr>
            </w:pPr>
          </w:p>
        </w:tc>
        <w:tc>
          <w:tcPr>
            <w:tcW w:w="5669" w:type="dxa"/>
          </w:tcPr>
          <w:p w14:paraId="222E435B" w14:textId="77777777" w:rsidR="009C6080" w:rsidRPr="009C6080" w:rsidRDefault="009C6080" w:rsidP="009C6080">
            <w:pPr>
              <w:rPr>
                <w:rFonts w:cs="Frankruhel"/>
                <w:rtl/>
              </w:rPr>
            </w:pPr>
            <w:r>
              <w:rPr>
                <w:rtl/>
              </w:rPr>
              <w:t>תוספת</w:t>
            </w:r>
          </w:p>
        </w:tc>
        <w:tc>
          <w:tcPr>
            <w:tcW w:w="567" w:type="dxa"/>
          </w:tcPr>
          <w:p w14:paraId="63DAC74F" w14:textId="77777777" w:rsidR="009C6080" w:rsidRPr="009C6080" w:rsidRDefault="009C6080" w:rsidP="009C6080">
            <w:pPr>
              <w:rPr>
                <w:rStyle w:val="Hyperlink"/>
                <w:rtl/>
              </w:rPr>
            </w:pPr>
            <w:hyperlink w:anchor="med0" w:tooltip="תוספת" w:history="1">
              <w:r w:rsidRPr="009C6080">
                <w:rPr>
                  <w:rStyle w:val="Hyperlink"/>
                </w:rPr>
                <w:t>Go</w:t>
              </w:r>
            </w:hyperlink>
          </w:p>
        </w:tc>
        <w:tc>
          <w:tcPr>
            <w:tcW w:w="850" w:type="dxa"/>
          </w:tcPr>
          <w:p w14:paraId="5B1D05F4" w14:textId="77777777" w:rsidR="009C6080" w:rsidRPr="009C6080" w:rsidRDefault="009C6080" w:rsidP="009C608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bl>
    <w:p w14:paraId="037C6D08" w14:textId="77777777" w:rsidR="00D25D5C" w:rsidRDefault="00D25D5C" w:rsidP="007264C8">
      <w:pPr>
        <w:pStyle w:val="big-header"/>
        <w:ind w:left="0" w:right="1134"/>
        <w:rPr>
          <w:rStyle w:val="default"/>
          <w:rFonts w:hint="cs"/>
          <w:sz w:val="22"/>
          <w:szCs w:val="22"/>
          <w:rtl/>
        </w:rPr>
      </w:pPr>
      <w:r>
        <w:rPr>
          <w:rFonts w:cs="FrankRuehl"/>
          <w:sz w:val="32"/>
          <w:rtl/>
        </w:rPr>
        <w:br w:type="page"/>
      </w:r>
      <w:r w:rsidR="0011648D">
        <w:rPr>
          <w:rFonts w:cs="FrankRuehl" w:hint="cs"/>
          <w:sz w:val="32"/>
          <w:rtl/>
        </w:rPr>
        <w:lastRenderedPageBreak/>
        <w:t xml:space="preserve">צו התקשורת (בזק ושידורים) (פטור מאישור סוג </w:t>
      </w:r>
      <w:r w:rsidR="007264C8">
        <w:rPr>
          <w:rFonts w:cs="FrankRuehl" w:hint="cs"/>
          <w:sz w:val="32"/>
          <w:rtl/>
        </w:rPr>
        <w:t>לציוד קצה), תשע"ד-2014</w:t>
      </w:r>
      <w:r>
        <w:rPr>
          <w:rStyle w:val="default"/>
          <w:sz w:val="22"/>
          <w:szCs w:val="22"/>
          <w:rtl/>
        </w:rPr>
        <w:footnoteReference w:customMarkFollows="1" w:id="1"/>
        <w:t>*</w:t>
      </w:r>
    </w:p>
    <w:p w14:paraId="576F817B" w14:textId="77777777" w:rsidR="008C2526" w:rsidRDefault="008C2526" w:rsidP="007264C8">
      <w:pPr>
        <w:pStyle w:val="P00"/>
        <w:spacing w:before="72"/>
        <w:ind w:left="0" w:right="1134"/>
        <w:rPr>
          <w:rStyle w:val="default"/>
          <w:rFonts w:cs="FrankRuehl" w:hint="cs"/>
          <w:rtl/>
        </w:rPr>
      </w:pPr>
      <w:r>
        <w:rPr>
          <w:rStyle w:val="default"/>
          <w:rFonts w:cs="FrankRuehl" w:hint="cs"/>
          <w:rtl/>
        </w:rPr>
        <w:tab/>
        <w:t xml:space="preserve">בתוקף </w:t>
      </w:r>
      <w:r w:rsidR="009A37B4">
        <w:rPr>
          <w:rStyle w:val="default"/>
          <w:rFonts w:cs="FrankRuehl" w:hint="cs"/>
          <w:rtl/>
        </w:rPr>
        <w:t xml:space="preserve">סמכותי לפי סעיפים 4א(ד3), 53א(א)(4) ו-59 לחוק התקשורת (בזק ושידורים), התשמ"ב-1982 (להלן </w:t>
      </w:r>
      <w:r w:rsidR="009A37B4">
        <w:rPr>
          <w:rStyle w:val="default"/>
          <w:rFonts w:cs="FrankRuehl"/>
          <w:rtl/>
        </w:rPr>
        <w:t>–</w:t>
      </w:r>
      <w:r w:rsidR="009A37B4">
        <w:rPr>
          <w:rStyle w:val="default"/>
          <w:rFonts w:cs="FrankRuehl" w:hint="cs"/>
          <w:rtl/>
        </w:rPr>
        <w:t xml:space="preserve"> </w:t>
      </w:r>
      <w:r w:rsidR="007264C8">
        <w:rPr>
          <w:rStyle w:val="default"/>
          <w:rFonts w:cs="FrankRuehl" w:hint="cs"/>
          <w:rtl/>
        </w:rPr>
        <w:t>החוק</w:t>
      </w:r>
      <w:r w:rsidR="009A37B4">
        <w:rPr>
          <w:rStyle w:val="default"/>
          <w:rFonts w:cs="FrankRuehl" w:hint="cs"/>
          <w:rtl/>
        </w:rPr>
        <w:t>), ובאישור ועדת הכלכלה של הכנסת לפי סעיף 59א לחוק, אני מצווה לאמור</w:t>
      </w:r>
      <w:r>
        <w:rPr>
          <w:rStyle w:val="default"/>
          <w:rFonts w:cs="FrankRuehl" w:hint="cs"/>
          <w:rtl/>
        </w:rPr>
        <w:t>:</w:t>
      </w:r>
    </w:p>
    <w:p w14:paraId="6BC720A6" w14:textId="77777777" w:rsidR="009E096B" w:rsidRDefault="00D25D5C" w:rsidP="009A37B4">
      <w:pPr>
        <w:pStyle w:val="P00"/>
        <w:spacing w:before="72"/>
        <w:ind w:left="0" w:right="1134"/>
        <w:rPr>
          <w:rStyle w:val="default"/>
          <w:rFonts w:cs="FrankRuehl" w:hint="cs"/>
          <w:rtl/>
        </w:rPr>
      </w:pPr>
      <w:bookmarkStart w:id="0" w:name="Seif1"/>
      <w:bookmarkEnd w:id="0"/>
      <w:r>
        <w:rPr>
          <w:rFonts w:cs="Miriam"/>
          <w:lang w:val="he-IL"/>
        </w:rPr>
        <w:pict w14:anchorId="473BB2C5">
          <v:rect id="_x0000_s1026" style="position:absolute;left:0;text-align:left;margin-left:464.5pt;margin-top:8.05pt;width:75.05pt;height:14pt;z-index:251652608" o:allowincell="f" filled="f" stroked="f" strokecolor="lime" strokeweight=".25pt">
            <v:textbox inset="0,0,0,0">
              <w:txbxContent>
                <w:p w14:paraId="2BE156D5" w14:textId="77777777" w:rsidR="00904EEA" w:rsidRDefault="009A37B4">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9A37B4">
        <w:rPr>
          <w:rStyle w:val="default"/>
          <w:rFonts w:cs="FrankRuehl" w:hint="cs"/>
          <w:rtl/>
        </w:rPr>
        <w:t xml:space="preserve">בצו זה </w:t>
      </w:r>
      <w:r w:rsidR="009A37B4">
        <w:rPr>
          <w:rStyle w:val="default"/>
          <w:rFonts w:cs="FrankRuehl"/>
          <w:rtl/>
        </w:rPr>
        <w:t>–</w:t>
      </w:r>
    </w:p>
    <w:p w14:paraId="513C7FC2" w14:textId="77777777" w:rsidR="009A37B4" w:rsidRDefault="009A37B4" w:rsidP="007264C8">
      <w:pPr>
        <w:pStyle w:val="P00"/>
        <w:spacing w:before="72"/>
        <w:ind w:left="0" w:right="1134"/>
        <w:rPr>
          <w:rStyle w:val="default"/>
          <w:rFonts w:cs="FrankRuehl" w:hint="cs"/>
          <w:sz w:val="20"/>
          <w:rtl/>
        </w:rPr>
      </w:pPr>
      <w:r w:rsidRPr="006F007A">
        <w:rPr>
          <w:rStyle w:val="default"/>
          <w:rFonts w:cs="FrankRuehl" w:hint="cs"/>
          <w:sz w:val="20"/>
          <w:rtl/>
        </w:rPr>
        <w:tab/>
        <w:t xml:space="preserve">"המנהל" </w:t>
      </w:r>
      <w:r w:rsidRPr="006F007A">
        <w:rPr>
          <w:rStyle w:val="default"/>
          <w:rFonts w:cs="FrankRuehl"/>
          <w:sz w:val="20"/>
          <w:rtl/>
        </w:rPr>
        <w:t>–</w:t>
      </w:r>
      <w:r w:rsidRPr="006F007A">
        <w:rPr>
          <w:rStyle w:val="default"/>
          <w:rFonts w:cs="FrankRuehl" w:hint="cs"/>
          <w:sz w:val="20"/>
          <w:rtl/>
        </w:rPr>
        <w:t xml:space="preserve"> מנהל אגף בכיר </w:t>
      </w:r>
      <w:r w:rsidR="007264C8">
        <w:rPr>
          <w:rStyle w:val="default"/>
          <w:rFonts w:cs="FrankRuehl" w:hint="cs"/>
          <w:sz w:val="20"/>
          <w:rtl/>
        </w:rPr>
        <w:t>הנדסה</w:t>
      </w:r>
      <w:r w:rsidRPr="006F007A">
        <w:rPr>
          <w:rStyle w:val="default"/>
          <w:rFonts w:cs="FrankRuehl" w:hint="cs"/>
          <w:sz w:val="20"/>
          <w:rtl/>
        </w:rPr>
        <w:t xml:space="preserve"> ורישוי במשרד או עובד </w:t>
      </w:r>
      <w:r w:rsidR="007264C8">
        <w:rPr>
          <w:rStyle w:val="default"/>
          <w:rFonts w:cs="FrankRuehl" w:hint="cs"/>
          <w:sz w:val="20"/>
          <w:rtl/>
        </w:rPr>
        <w:t>ה</w:t>
      </w:r>
      <w:r w:rsidRPr="006F007A">
        <w:rPr>
          <w:rStyle w:val="default"/>
          <w:rFonts w:cs="FrankRuehl" w:hint="cs"/>
          <w:sz w:val="20"/>
          <w:rtl/>
        </w:rPr>
        <w:t xml:space="preserve">משרד שהשר הסמיכו לעניין </w:t>
      </w:r>
      <w:r w:rsidR="007264C8">
        <w:rPr>
          <w:rStyle w:val="default"/>
          <w:rFonts w:cs="FrankRuehl" w:hint="cs"/>
          <w:sz w:val="20"/>
          <w:rtl/>
        </w:rPr>
        <w:t xml:space="preserve">צו </w:t>
      </w:r>
      <w:r w:rsidRPr="006F007A">
        <w:rPr>
          <w:rStyle w:val="default"/>
          <w:rFonts w:cs="FrankRuehl" w:hint="cs"/>
          <w:sz w:val="20"/>
          <w:rtl/>
        </w:rPr>
        <w:t>זה</w:t>
      </w:r>
      <w:r w:rsidR="007C4D2C">
        <w:rPr>
          <w:rStyle w:val="a6"/>
          <w:rFonts w:cs="FrankRuehl"/>
          <w:rtl/>
        </w:rPr>
        <w:footnoteReference w:id="2"/>
      </w:r>
      <w:r w:rsidRPr="006F007A">
        <w:rPr>
          <w:rStyle w:val="default"/>
          <w:rFonts w:cs="FrankRuehl" w:hint="cs"/>
          <w:sz w:val="20"/>
          <w:rtl/>
        </w:rPr>
        <w:t>;</w:t>
      </w:r>
    </w:p>
    <w:p w14:paraId="18FE0E45" w14:textId="77777777" w:rsidR="007264C8" w:rsidRPr="006F007A" w:rsidRDefault="007264C8" w:rsidP="007264C8">
      <w:pPr>
        <w:pStyle w:val="P00"/>
        <w:spacing w:before="72"/>
        <w:ind w:left="0" w:right="1134"/>
        <w:rPr>
          <w:rStyle w:val="default"/>
          <w:rFonts w:cs="FrankRuehl" w:hint="cs"/>
          <w:sz w:val="20"/>
          <w:rtl/>
        </w:rPr>
      </w:pPr>
      <w:r>
        <w:rPr>
          <w:rStyle w:val="default"/>
          <w:rFonts w:cs="FrankRuehl" w:hint="cs"/>
          <w:sz w:val="20"/>
          <w:rtl/>
        </w:rPr>
        <w:tab/>
        <w:t xml:space="preserve">"המשרד" </w:t>
      </w:r>
      <w:r>
        <w:rPr>
          <w:rStyle w:val="default"/>
          <w:rFonts w:cs="FrankRuehl"/>
          <w:sz w:val="20"/>
          <w:rtl/>
        </w:rPr>
        <w:t>–</w:t>
      </w:r>
      <w:r>
        <w:rPr>
          <w:rStyle w:val="default"/>
          <w:rFonts w:cs="FrankRuehl" w:hint="cs"/>
          <w:sz w:val="20"/>
          <w:rtl/>
        </w:rPr>
        <w:t xml:space="preserve"> משרד התקשורת;</w:t>
      </w:r>
    </w:p>
    <w:p w14:paraId="657629E8" w14:textId="77777777" w:rsidR="006F007A" w:rsidRDefault="006F007A" w:rsidP="007264C8">
      <w:pPr>
        <w:pStyle w:val="P00"/>
        <w:spacing w:before="72"/>
        <w:ind w:left="0" w:right="1134"/>
        <w:rPr>
          <w:rStyle w:val="default"/>
          <w:rFonts w:cs="FrankRuehl" w:hint="cs"/>
          <w:sz w:val="20"/>
          <w:rtl/>
        </w:rPr>
      </w:pPr>
      <w:r>
        <w:rPr>
          <w:rStyle w:val="default"/>
          <w:rFonts w:cs="FrankRuehl" w:hint="cs"/>
          <w:sz w:val="20"/>
          <w:rtl/>
        </w:rPr>
        <w:tab/>
        <w:t xml:space="preserve">"סחר" </w:t>
      </w:r>
      <w:r>
        <w:rPr>
          <w:rStyle w:val="default"/>
          <w:rFonts w:cs="FrankRuehl"/>
          <w:sz w:val="20"/>
          <w:rtl/>
        </w:rPr>
        <w:t>–</w:t>
      </w:r>
      <w:r>
        <w:rPr>
          <w:rStyle w:val="default"/>
          <w:rFonts w:cs="FrankRuehl" w:hint="cs"/>
          <w:sz w:val="20"/>
          <w:rtl/>
        </w:rPr>
        <w:t xml:space="preserve"> </w:t>
      </w:r>
      <w:r w:rsidR="007264C8">
        <w:rPr>
          <w:rStyle w:val="default"/>
          <w:rFonts w:cs="FrankRuehl" w:hint="cs"/>
          <w:sz w:val="20"/>
          <w:rtl/>
        </w:rPr>
        <w:t xml:space="preserve">ייבוא, החזקה, הפצה, </w:t>
      </w:r>
      <w:r>
        <w:rPr>
          <w:rStyle w:val="default"/>
          <w:rFonts w:cs="FrankRuehl" w:hint="cs"/>
          <w:sz w:val="20"/>
          <w:rtl/>
        </w:rPr>
        <w:t>מכירה</w:t>
      </w:r>
      <w:r w:rsidR="007264C8">
        <w:rPr>
          <w:rStyle w:val="default"/>
          <w:rFonts w:cs="FrankRuehl" w:hint="cs"/>
          <w:sz w:val="20"/>
          <w:rtl/>
        </w:rPr>
        <w:t xml:space="preserve"> ותחזוקה של ציוד קצה או חיבורו לרשת בזק ציבורית</w:t>
      </w:r>
      <w:r>
        <w:rPr>
          <w:rStyle w:val="default"/>
          <w:rFonts w:cs="FrankRuehl" w:hint="cs"/>
          <w:sz w:val="20"/>
          <w:rtl/>
        </w:rPr>
        <w:t>,</w:t>
      </w:r>
      <w:r w:rsidR="007264C8">
        <w:rPr>
          <w:rStyle w:val="default"/>
          <w:rFonts w:cs="FrankRuehl" w:hint="cs"/>
          <w:sz w:val="20"/>
          <w:rtl/>
        </w:rPr>
        <w:t xml:space="preserve"> למטרה מסחרית</w:t>
      </w:r>
      <w:r>
        <w:rPr>
          <w:rStyle w:val="default"/>
          <w:rFonts w:cs="FrankRuehl" w:hint="cs"/>
          <w:sz w:val="20"/>
          <w:rtl/>
        </w:rPr>
        <w:t>;</w:t>
      </w:r>
    </w:p>
    <w:p w14:paraId="01329602" w14:textId="77777777" w:rsidR="006F007A" w:rsidRDefault="006F007A" w:rsidP="0049351E">
      <w:pPr>
        <w:pStyle w:val="P00"/>
        <w:spacing w:before="72"/>
        <w:ind w:left="0" w:right="1134"/>
        <w:rPr>
          <w:rStyle w:val="default"/>
          <w:rFonts w:cs="FrankRuehl" w:hint="cs"/>
          <w:sz w:val="20"/>
          <w:rtl/>
        </w:rPr>
      </w:pPr>
      <w:r>
        <w:rPr>
          <w:rStyle w:val="default"/>
          <w:rFonts w:cs="FrankRuehl" w:hint="cs"/>
          <w:sz w:val="20"/>
          <w:rtl/>
        </w:rPr>
        <w:tab/>
        <w:t xml:space="preserve">"ציוד קצה" </w:t>
      </w:r>
      <w:r>
        <w:rPr>
          <w:rStyle w:val="default"/>
          <w:rFonts w:cs="FrankRuehl"/>
          <w:sz w:val="20"/>
          <w:rtl/>
        </w:rPr>
        <w:t>–</w:t>
      </w:r>
      <w:r>
        <w:rPr>
          <w:rStyle w:val="default"/>
          <w:rFonts w:cs="FrankRuehl" w:hint="cs"/>
          <w:sz w:val="20"/>
          <w:rtl/>
        </w:rPr>
        <w:t xml:space="preserve"> </w:t>
      </w:r>
      <w:r w:rsidR="0049351E">
        <w:rPr>
          <w:rStyle w:val="default"/>
          <w:rFonts w:cs="FrankRuehl" w:hint="cs"/>
          <w:sz w:val="20"/>
          <w:rtl/>
        </w:rPr>
        <w:t xml:space="preserve">למעט </w:t>
      </w:r>
      <w:r>
        <w:rPr>
          <w:rStyle w:val="default"/>
          <w:rFonts w:cs="FrankRuehl" w:hint="cs"/>
          <w:sz w:val="20"/>
          <w:rtl/>
        </w:rPr>
        <w:t xml:space="preserve">ציוד קצה </w:t>
      </w:r>
      <w:r w:rsidR="0049351E">
        <w:rPr>
          <w:rStyle w:val="default"/>
          <w:rFonts w:cs="FrankRuehl" w:hint="cs"/>
          <w:sz w:val="20"/>
          <w:rtl/>
        </w:rPr>
        <w:t>רדיו טלפון נייד.</w:t>
      </w:r>
    </w:p>
    <w:p w14:paraId="0CB16D59" w14:textId="77777777" w:rsidR="009922C9" w:rsidRDefault="009922C9" w:rsidP="0049351E">
      <w:pPr>
        <w:pStyle w:val="P00"/>
        <w:spacing w:before="72"/>
        <w:ind w:left="0" w:right="1134"/>
        <w:rPr>
          <w:rStyle w:val="default"/>
          <w:rFonts w:cs="FrankRuehl" w:hint="cs"/>
          <w:rtl/>
        </w:rPr>
      </w:pPr>
      <w:bookmarkStart w:id="1" w:name="Seif2"/>
      <w:bookmarkEnd w:id="1"/>
      <w:r>
        <w:rPr>
          <w:rFonts w:cs="Miriam"/>
          <w:lang w:val="he-IL"/>
        </w:rPr>
        <w:pict w14:anchorId="5846068F">
          <v:rect id="_x0000_s1103" style="position:absolute;left:0;text-align:left;margin-left:464.5pt;margin-top:8.05pt;width:75.05pt;height:14pt;z-index:251653632" o:allowincell="f" filled="f" stroked="f" strokecolor="lime" strokeweight=".25pt">
            <v:textbox inset="0,0,0,0">
              <w:txbxContent>
                <w:p w14:paraId="15EAFC18" w14:textId="77777777" w:rsidR="009922C9" w:rsidRDefault="00BF254E" w:rsidP="009922C9">
                  <w:pPr>
                    <w:spacing w:line="160" w:lineRule="exact"/>
                    <w:rPr>
                      <w:rFonts w:cs="Miriam" w:hint="cs"/>
                      <w:noProof/>
                      <w:sz w:val="18"/>
                      <w:szCs w:val="18"/>
                      <w:rtl/>
                    </w:rPr>
                  </w:pPr>
                  <w:r>
                    <w:rPr>
                      <w:rFonts w:cs="Miriam" w:hint="cs"/>
                      <w:sz w:val="18"/>
                      <w:szCs w:val="18"/>
                      <w:rtl/>
                    </w:rPr>
                    <w:t>פטור מאישור סוג</w:t>
                  </w:r>
                </w:p>
              </w:txbxContent>
            </v:textbox>
            <w10:anchorlock/>
          </v:rect>
        </w:pict>
      </w:r>
      <w:r w:rsidR="00BF254E">
        <w:rPr>
          <w:rStyle w:val="big-number"/>
          <w:rFonts w:cs="Miriam" w:hint="cs"/>
          <w:rtl/>
        </w:rPr>
        <w:t>2</w:t>
      </w:r>
      <w:r>
        <w:rPr>
          <w:rStyle w:val="big-number"/>
          <w:rFonts w:cs="FrankRuehl"/>
          <w:sz w:val="26"/>
          <w:szCs w:val="26"/>
          <w:rtl/>
        </w:rPr>
        <w:t>.</w:t>
      </w:r>
      <w:r>
        <w:rPr>
          <w:rStyle w:val="big-number"/>
          <w:rFonts w:cs="FrankRuehl"/>
          <w:sz w:val="26"/>
          <w:szCs w:val="26"/>
          <w:rtl/>
        </w:rPr>
        <w:tab/>
      </w:r>
      <w:r w:rsidR="0049351E">
        <w:rPr>
          <w:rStyle w:val="default"/>
          <w:rFonts w:cs="FrankRuehl" w:hint="cs"/>
          <w:rtl/>
        </w:rPr>
        <w:t>(א)</w:t>
      </w:r>
      <w:r w:rsidR="0049351E">
        <w:rPr>
          <w:rStyle w:val="default"/>
          <w:rFonts w:cs="FrankRuehl" w:hint="cs"/>
          <w:rtl/>
        </w:rPr>
        <w:tab/>
      </w:r>
      <w:r w:rsidR="00BF254E">
        <w:rPr>
          <w:rStyle w:val="default"/>
          <w:rFonts w:cs="FrankRuehl" w:hint="cs"/>
          <w:rtl/>
        </w:rPr>
        <w:t xml:space="preserve">ציוד קצה שמתקיימים לגביו כל </w:t>
      </w:r>
      <w:r w:rsidR="0049351E">
        <w:rPr>
          <w:rStyle w:val="default"/>
          <w:rFonts w:cs="FrankRuehl" w:hint="cs"/>
          <w:rtl/>
        </w:rPr>
        <w:t>התנאים האלה אינו טעון</w:t>
      </w:r>
      <w:r w:rsidR="00BF254E">
        <w:rPr>
          <w:rStyle w:val="default"/>
          <w:rFonts w:cs="FrankRuehl" w:hint="cs"/>
          <w:rtl/>
        </w:rPr>
        <w:t xml:space="preserve"> אישור סוג:</w:t>
      </w:r>
    </w:p>
    <w:p w14:paraId="0DBC9FAA" w14:textId="77777777" w:rsidR="00BF254E" w:rsidRDefault="00BF254E" w:rsidP="0049351E">
      <w:pPr>
        <w:pStyle w:val="P00"/>
        <w:spacing w:before="72"/>
        <w:ind w:left="1021" w:right="1134"/>
        <w:rPr>
          <w:rStyle w:val="default"/>
          <w:rFonts w:cs="FrankRuehl" w:hint="cs"/>
          <w:sz w:val="20"/>
          <w:rtl/>
        </w:rPr>
      </w:pPr>
      <w:r w:rsidRPr="00BF254E">
        <w:rPr>
          <w:rStyle w:val="default"/>
          <w:rFonts w:cs="FrankRuehl" w:hint="cs"/>
          <w:sz w:val="20"/>
          <w:rtl/>
        </w:rPr>
        <w:t>(1)</w:t>
      </w:r>
      <w:r w:rsidRPr="00BF254E">
        <w:rPr>
          <w:rStyle w:val="default"/>
          <w:rFonts w:cs="FrankRuehl" w:hint="cs"/>
          <w:sz w:val="20"/>
          <w:rtl/>
        </w:rPr>
        <w:tab/>
        <w:t xml:space="preserve">בציוד </w:t>
      </w:r>
      <w:r w:rsidR="0049351E">
        <w:rPr>
          <w:rStyle w:val="default"/>
          <w:rFonts w:cs="FrankRuehl" w:hint="cs"/>
          <w:sz w:val="20"/>
          <w:rtl/>
        </w:rPr>
        <w:t xml:space="preserve">הקצה </w:t>
      </w:r>
      <w:r w:rsidRPr="00BF254E">
        <w:rPr>
          <w:rStyle w:val="default"/>
          <w:rFonts w:cs="FrankRuehl" w:hint="cs"/>
          <w:sz w:val="20"/>
          <w:rtl/>
        </w:rPr>
        <w:t xml:space="preserve">מתקיימות </w:t>
      </w:r>
      <w:r w:rsidR="0049351E">
        <w:rPr>
          <w:rStyle w:val="default"/>
          <w:rFonts w:cs="FrankRuehl" w:hint="cs"/>
          <w:sz w:val="20"/>
          <w:rtl/>
        </w:rPr>
        <w:t>ה</w:t>
      </w:r>
      <w:r w:rsidRPr="00BF254E">
        <w:rPr>
          <w:rStyle w:val="default"/>
          <w:rFonts w:cs="FrankRuehl" w:hint="cs"/>
          <w:sz w:val="20"/>
          <w:rtl/>
        </w:rPr>
        <w:t xml:space="preserve">דרישות </w:t>
      </w:r>
      <w:r w:rsidR="0049351E">
        <w:rPr>
          <w:rStyle w:val="default"/>
          <w:rFonts w:cs="FrankRuehl" w:hint="cs"/>
          <w:sz w:val="20"/>
          <w:rtl/>
        </w:rPr>
        <w:t xml:space="preserve">הטכניות שבתקן, במפרט הטכני או בהמלצה המפורטים בתוספת (בצו זה </w:t>
      </w:r>
      <w:r w:rsidR="0049351E">
        <w:rPr>
          <w:rStyle w:val="default"/>
          <w:rFonts w:cs="FrankRuehl"/>
          <w:sz w:val="20"/>
          <w:rtl/>
        </w:rPr>
        <w:t>–</w:t>
      </w:r>
      <w:r w:rsidR="0049351E">
        <w:rPr>
          <w:rStyle w:val="default"/>
          <w:rFonts w:cs="FrankRuehl" w:hint="cs"/>
          <w:sz w:val="20"/>
          <w:rtl/>
        </w:rPr>
        <w:t xml:space="preserve"> מפרט)</w:t>
      </w:r>
      <w:r>
        <w:rPr>
          <w:rStyle w:val="default"/>
          <w:rFonts w:cs="FrankRuehl" w:hint="cs"/>
          <w:sz w:val="20"/>
          <w:rtl/>
        </w:rPr>
        <w:t>;</w:t>
      </w:r>
    </w:p>
    <w:p w14:paraId="184601CF" w14:textId="77777777" w:rsidR="00BF254E" w:rsidRDefault="00BF254E" w:rsidP="0049351E">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ציוד </w:t>
      </w:r>
      <w:r w:rsidR="0049351E">
        <w:rPr>
          <w:rStyle w:val="default"/>
          <w:rFonts w:cs="FrankRuehl" w:hint="cs"/>
          <w:sz w:val="20"/>
          <w:rtl/>
        </w:rPr>
        <w:t>הקצה מתאים לרשת הבזק של בעל רישיון כללי</w:t>
      </w:r>
      <w:r>
        <w:rPr>
          <w:rStyle w:val="default"/>
          <w:rFonts w:cs="FrankRuehl" w:hint="cs"/>
          <w:sz w:val="20"/>
          <w:rtl/>
        </w:rPr>
        <w:t>;</w:t>
      </w:r>
    </w:p>
    <w:p w14:paraId="50C01124" w14:textId="77777777" w:rsidR="00BF254E" w:rsidRDefault="00BF254E" w:rsidP="0049351E">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r>
      <w:r w:rsidR="0049351E">
        <w:rPr>
          <w:rStyle w:val="default"/>
          <w:rFonts w:cs="FrankRuehl" w:hint="cs"/>
          <w:sz w:val="20"/>
          <w:rtl/>
        </w:rPr>
        <w:t>רמת בטיחותו של ציוד הקצה מספיקה כדי למנוע פגיעה או נזק למשתמשים ולמטפלים בציוד ולרשת הבזק ועובדיה.</w:t>
      </w:r>
    </w:p>
    <w:p w14:paraId="735E7757" w14:textId="77777777" w:rsidR="00BF254E" w:rsidRDefault="0049351E" w:rsidP="0049351E">
      <w:pPr>
        <w:pStyle w:val="P00"/>
        <w:spacing w:before="72"/>
        <w:ind w:left="0" w:right="1134"/>
        <w:rPr>
          <w:rStyle w:val="default"/>
          <w:rFonts w:cs="FrankRuehl" w:hint="cs"/>
          <w:sz w:val="20"/>
          <w:rtl/>
        </w:rPr>
      </w:pPr>
      <w:r>
        <w:rPr>
          <w:rStyle w:val="default"/>
          <w:rFonts w:cs="FrankRuehl" w:hint="cs"/>
          <w:sz w:val="20"/>
          <w:rtl/>
        </w:rPr>
        <w:tab/>
      </w:r>
      <w:r w:rsidR="00BF254E">
        <w:rPr>
          <w:rStyle w:val="default"/>
          <w:rFonts w:cs="FrankRuehl" w:hint="cs"/>
          <w:sz w:val="20"/>
          <w:rtl/>
        </w:rPr>
        <w:t>(</w:t>
      </w:r>
      <w:r>
        <w:rPr>
          <w:rStyle w:val="default"/>
          <w:rFonts w:cs="FrankRuehl" w:hint="cs"/>
          <w:sz w:val="20"/>
          <w:rtl/>
        </w:rPr>
        <w:t>ב</w:t>
      </w:r>
      <w:r w:rsidR="00BF254E">
        <w:rPr>
          <w:rStyle w:val="default"/>
          <w:rFonts w:cs="FrankRuehl" w:hint="cs"/>
          <w:sz w:val="20"/>
          <w:rtl/>
        </w:rPr>
        <w:t>)</w:t>
      </w:r>
      <w:r w:rsidR="00BF254E">
        <w:rPr>
          <w:rStyle w:val="default"/>
          <w:rFonts w:cs="FrankRuehl" w:hint="cs"/>
          <w:sz w:val="20"/>
          <w:rtl/>
        </w:rPr>
        <w:tab/>
      </w:r>
      <w:r>
        <w:rPr>
          <w:rStyle w:val="default"/>
          <w:rFonts w:cs="FrankRuehl" w:hint="cs"/>
          <w:sz w:val="20"/>
          <w:rtl/>
        </w:rPr>
        <w:t>ציוד קצה שמתקיימות לגביו הדרישות כאמור בסעיף קטן (א)(1), חזקה כי מתקיימים לגביו התנאים כאמור בסעיף קטן (א)(2) ו-(3), כל עוד לא הורה המנהל אחרת לעניין ציוד קצה מסוים, בהחלטה מנומקת בכתב.</w:t>
      </w:r>
    </w:p>
    <w:p w14:paraId="0A154449" w14:textId="77777777" w:rsidR="009922C9" w:rsidRDefault="009922C9" w:rsidP="0049351E">
      <w:pPr>
        <w:pStyle w:val="P00"/>
        <w:spacing w:before="72"/>
        <w:ind w:left="0" w:right="1134"/>
        <w:rPr>
          <w:rStyle w:val="default"/>
          <w:rFonts w:cs="FrankRuehl" w:hint="cs"/>
          <w:rtl/>
        </w:rPr>
      </w:pPr>
      <w:bookmarkStart w:id="2" w:name="Seif3"/>
      <w:bookmarkEnd w:id="2"/>
      <w:r>
        <w:rPr>
          <w:rFonts w:cs="Miriam"/>
          <w:lang w:val="he-IL"/>
        </w:rPr>
        <w:pict w14:anchorId="1176715F">
          <v:rect id="_x0000_s1104" style="position:absolute;left:0;text-align:left;margin-left:464.5pt;margin-top:8.05pt;width:75.05pt;height:11.7pt;z-index:251654656" o:allowincell="f" filled="f" stroked="f" strokecolor="lime" strokeweight=".25pt">
            <v:textbox inset="0,0,0,0">
              <w:txbxContent>
                <w:p w14:paraId="115DC1A2" w14:textId="77777777" w:rsidR="009922C9" w:rsidRDefault="0049351E" w:rsidP="009922C9">
                  <w:pPr>
                    <w:spacing w:line="160" w:lineRule="exact"/>
                    <w:rPr>
                      <w:rFonts w:cs="Miriam" w:hint="cs"/>
                      <w:noProof/>
                      <w:sz w:val="18"/>
                      <w:szCs w:val="18"/>
                      <w:rtl/>
                    </w:rPr>
                  </w:pPr>
                  <w:r>
                    <w:rPr>
                      <w:rFonts w:cs="Miriam" w:hint="cs"/>
                      <w:sz w:val="18"/>
                      <w:szCs w:val="18"/>
                      <w:rtl/>
                    </w:rPr>
                    <w:t>דרישת מידע</w:t>
                  </w:r>
                </w:p>
              </w:txbxContent>
            </v:textbox>
            <w10:anchorlock/>
          </v:rect>
        </w:pict>
      </w:r>
      <w:r w:rsidR="00BF254E">
        <w:rPr>
          <w:rStyle w:val="big-number"/>
          <w:rFonts w:cs="Miriam" w:hint="cs"/>
          <w:rtl/>
        </w:rPr>
        <w:t>3</w:t>
      </w:r>
      <w:r>
        <w:rPr>
          <w:rStyle w:val="big-number"/>
          <w:rFonts w:cs="FrankRuehl"/>
          <w:sz w:val="26"/>
          <w:szCs w:val="26"/>
          <w:rtl/>
        </w:rPr>
        <w:t>.</w:t>
      </w:r>
      <w:r>
        <w:rPr>
          <w:rStyle w:val="big-number"/>
          <w:rFonts w:cs="FrankRuehl"/>
          <w:sz w:val="26"/>
          <w:szCs w:val="26"/>
          <w:rtl/>
        </w:rPr>
        <w:tab/>
      </w:r>
      <w:r w:rsidR="0049351E">
        <w:rPr>
          <w:rStyle w:val="default"/>
          <w:rFonts w:cs="FrankRuehl" w:hint="cs"/>
          <w:rtl/>
        </w:rPr>
        <w:t>לשם בחינה אם בציוד קצה מתקיימים התנאים שבסעיף 2(א), רשאי המנהל, או עובד המשרד שהוא הסמיכו לכך, לדרוש מעוסק בסחר בציוד קצה הפטור מאישור סוג כאמור בסעיף 2(א) או ממי שפועל מטעמו, כל ידיעה או מסמך אשר עשויים להעיד על עמידתו של ציוד הקצה בתנאים כאמור, במועד, במתכונת ובאופן שיורה עליהם</w:t>
      </w:r>
      <w:r w:rsidR="008138ED">
        <w:rPr>
          <w:rStyle w:val="default"/>
          <w:rFonts w:cs="FrankRuehl" w:hint="cs"/>
          <w:rtl/>
        </w:rPr>
        <w:t>.</w:t>
      </w:r>
    </w:p>
    <w:p w14:paraId="6CE96BC6" w14:textId="77777777" w:rsidR="009922C9" w:rsidRDefault="009922C9" w:rsidP="0049351E">
      <w:pPr>
        <w:pStyle w:val="P00"/>
        <w:spacing w:before="72"/>
        <w:ind w:left="0" w:right="1134"/>
        <w:rPr>
          <w:rStyle w:val="default"/>
          <w:rFonts w:cs="FrankRuehl" w:hint="cs"/>
          <w:rtl/>
        </w:rPr>
      </w:pPr>
      <w:bookmarkStart w:id="3" w:name="Seif4"/>
      <w:bookmarkEnd w:id="3"/>
      <w:r>
        <w:rPr>
          <w:rFonts w:cs="Miriam"/>
          <w:lang w:val="he-IL"/>
        </w:rPr>
        <w:pict w14:anchorId="07E7FFB0">
          <v:rect id="_x0000_s1105" style="position:absolute;left:0;text-align:left;margin-left:464.5pt;margin-top:8.05pt;width:75.05pt;height:24.8pt;z-index:251655680" o:allowincell="f" filled="f" stroked="f" strokecolor="lime" strokeweight=".25pt">
            <v:textbox inset="0,0,0,0">
              <w:txbxContent>
                <w:p w14:paraId="4CCC4E0D" w14:textId="77777777" w:rsidR="009922C9" w:rsidRDefault="0049351E" w:rsidP="0049351E">
                  <w:pPr>
                    <w:spacing w:line="160" w:lineRule="exact"/>
                    <w:rPr>
                      <w:rFonts w:cs="Miriam" w:hint="cs"/>
                      <w:noProof/>
                      <w:sz w:val="18"/>
                      <w:szCs w:val="18"/>
                      <w:rtl/>
                    </w:rPr>
                  </w:pPr>
                  <w:r>
                    <w:rPr>
                      <w:rFonts w:cs="Miriam" w:hint="cs"/>
                      <w:sz w:val="18"/>
                      <w:szCs w:val="18"/>
                      <w:rtl/>
                    </w:rPr>
                    <w:t>הפסקת סחר והודעה בדבר מסוכנות</w:t>
                  </w:r>
                </w:p>
              </w:txbxContent>
            </v:textbox>
            <w10:anchorlock/>
          </v:rect>
        </w:pict>
      </w:r>
      <w:r w:rsidR="008138ED">
        <w:rPr>
          <w:rStyle w:val="big-number"/>
          <w:rFonts w:cs="Miriam" w:hint="cs"/>
          <w:rtl/>
        </w:rPr>
        <w:t>4</w:t>
      </w:r>
      <w:r>
        <w:rPr>
          <w:rStyle w:val="big-number"/>
          <w:rFonts w:cs="FrankRuehl"/>
          <w:sz w:val="26"/>
          <w:szCs w:val="26"/>
          <w:rtl/>
        </w:rPr>
        <w:t>.</w:t>
      </w:r>
      <w:r>
        <w:rPr>
          <w:rStyle w:val="big-number"/>
          <w:rFonts w:cs="FrankRuehl"/>
          <w:sz w:val="26"/>
          <w:szCs w:val="26"/>
          <w:rtl/>
        </w:rPr>
        <w:tab/>
      </w:r>
      <w:r w:rsidR="0049351E">
        <w:rPr>
          <w:rStyle w:val="default"/>
          <w:rFonts w:cs="FrankRuehl" w:hint="cs"/>
          <w:rtl/>
        </w:rPr>
        <w:t>(א)</w:t>
      </w:r>
      <w:r w:rsidR="0049351E">
        <w:rPr>
          <w:rStyle w:val="default"/>
          <w:rFonts w:cs="FrankRuehl" w:hint="cs"/>
          <w:rtl/>
        </w:rPr>
        <w:tab/>
        <w:t xml:space="preserve">המנהל רשאי להורות על הפסקה זמנית של הסחר בציוד קצה מסוג מסוים, ורשאי הוא לקבוע תנאים מסוימים להמשך הסחר (בסעיף זה </w:t>
      </w:r>
      <w:r w:rsidR="0049351E">
        <w:rPr>
          <w:rStyle w:val="default"/>
          <w:rFonts w:cs="FrankRuehl"/>
          <w:rtl/>
        </w:rPr>
        <w:t>–</w:t>
      </w:r>
      <w:r w:rsidR="0049351E">
        <w:rPr>
          <w:rStyle w:val="default"/>
          <w:rFonts w:cs="FrankRuehl" w:hint="cs"/>
          <w:rtl/>
        </w:rPr>
        <w:t xml:space="preserve"> הפסקה זמנית), אם היה לו יסוד סביר להניח כי בציוד האמור לא מתקיים אחד התנאים כאמור בסעיף 2(א); ואולם מצא המנהל, לאחר ביצוע בדיקות מטעמו, כי בציוד הקצה האמור מתקיימים התנאים האמורים, יודיע על ביטול ההפסקה הזמנית; המנהל יודיע על החלטתו הסופית לעניין המשך הסחר בציוד הקצה האמור בהקדם האפשרי ולא יאוחר מ-60 ימים מיום הוראתו על ההפסקה הזמנית; המנהל לא יקבל החלטות לפי סעיף זה, אלא לאחר שנתן למי שרואה את עצמו נפגע הזדמנות לטעון את טענותיו; החלטת המנהל תפורסם באתר האינטרנט של המשרד.</w:t>
      </w:r>
    </w:p>
    <w:p w14:paraId="51D8812A" w14:textId="77777777" w:rsidR="0049351E" w:rsidRDefault="0049351E" w:rsidP="0049351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מצא המנהל כי בציוד קצה מסוים לא מתקיים תנאי מהתנאים שבסעיף 2(א)(2) ו-(3), רשאי הוא להורות למי שעוסק בסחר בציוד קצה כאמור לפרסם אזהרה כאמור, באופן שיורה עליו.</w:t>
      </w:r>
    </w:p>
    <w:p w14:paraId="79E01A5F" w14:textId="77777777" w:rsidR="009922C9" w:rsidRDefault="009922C9" w:rsidP="0049351E">
      <w:pPr>
        <w:pStyle w:val="P00"/>
        <w:spacing w:before="72"/>
        <w:ind w:left="0" w:right="1134"/>
        <w:rPr>
          <w:rStyle w:val="default"/>
          <w:rFonts w:cs="FrankRuehl" w:hint="cs"/>
          <w:rtl/>
        </w:rPr>
      </w:pPr>
      <w:bookmarkStart w:id="4" w:name="Seif5"/>
      <w:bookmarkEnd w:id="4"/>
      <w:r>
        <w:rPr>
          <w:rFonts w:cs="Miriam"/>
          <w:lang w:val="he-IL"/>
        </w:rPr>
        <w:pict w14:anchorId="6A48C2ED">
          <v:rect id="_x0000_s1106" style="position:absolute;left:0;text-align:left;margin-left:464.5pt;margin-top:8.05pt;width:75.05pt;height:28.1pt;z-index:251656704" o:allowincell="f" filled="f" stroked="f" strokecolor="lime" strokeweight=".25pt">
            <v:textbox inset="0,0,0,0">
              <w:txbxContent>
                <w:p w14:paraId="75DAFF35" w14:textId="77777777" w:rsidR="009922C9" w:rsidRDefault="0049351E" w:rsidP="009922C9">
                  <w:pPr>
                    <w:spacing w:line="160" w:lineRule="exact"/>
                    <w:rPr>
                      <w:rFonts w:cs="Miriam" w:hint="cs"/>
                      <w:noProof/>
                      <w:sz w:val="18"/>
                      <w:szCs w:val="18"/>
                      <w:rtl/>
                    </w:rPr>
                  </w:pPr>
                  <w:r>
                    <w:rPr>
                      <w:rFonts w:cs="Miriam" w:hint="cs"/>
                      <w:sz w:val="18"/>
                      <w:szCs w:val="18"/>
                      <w:rtl/>
                    </w:rPr>
                    <w:t>אכרזה על מפרט תקן רשמי, החלפתו או שינויו</w:t>
                  </w:r>
                </w:p>
              </w:txbxContent>
            </v:textbox>
            <w10:anchorlock/>
          </v:rect>
        </w:pict>
      </w:r>
      <w:r w:rsidR="008138ED">
        <w:rPr>
          <w:rStyle w:val="big-number"/>
          <w:rFonts w:cs="Miriam" w:hint="cs"/>
          <w:rtl/>
        </w:rPr>
        <w:t>5</w:t>
      </w:r>
      <w:r>
        <w:rPr>
          <w:rStyle w:val="big-number"/>
          <w:rFonts w:cs="FrankRuehl"/>
          <w:sz w:val="26"/>
          <w:szCs w:val="26"/>
          <w:rtl/>
        </w:rPr>
        <w:t>.</w:t>
      </w:r>
      <w:r>
        <w:rPr>
          <w:rStyle w:val="big-number"/>
          <w:rFonts w:cs="FrankRuehl"/>
          <w:sz w:val="26"/>
          <w:szCs w:val="26"/>
          <w:rtl/>
        </w:rPr>
        <w:tab/>
      </w:r>
      <w:r w:rsidR="0049351E">
        <w:rPr>
          <w:rStyle w:val="default"/>
          <w:rFonts w:cs="FrankRuehl" w:hint="cs"/>
          <w:rtl/>
        </w:rPr>
        <w:t xml:space="preserve">הוכרז מפרט תקן רשמי או הוכרז על החלפתו או שינויו של תקן רשמי כאמור, לפי הוראות חוק התקנים, התשי"ג-1953, יפרסם המנהל </w:t>
      </w:r>
      <w:r w:rsidR="00CE79CF">
        <w:rPr>
          <w:rStyle w:val="default"/>
          <w:rFonts w:cs="FrankRuehl" w:hint="cs"/>
          <w:rtl/>
        </w:rPr>
        <w:t>ב</w:t>
      </w:r>
      <w:r w:rsidR="0049351E">
        <w:rPr>
          <w:rStyle w:val="default"/>
          <w:rFonts w:cs="FrankRuehl" w:hint="cs"/>
          <w:rtl/>
        </w:rPr>
        <w:t>אתר האינטרנט של המשרד הודעה בדבר האכרזה, מועד כניסתה לתוקף ותנאיה, לאור הפרסום לפי סעיף 8 לחוק האמור, לעניין סעיף 2(א)(1).</w:t>
      </w:r>
    </w:p>
    <w:p w14:paraId="2560A0DB" w14:textId="77777777" w:rsidR="009922C9" w:rsidRDefault="009922C9" w:rsidP="0049351E">
      <w:pPr>
        <w:pStyle w:val="P00"/>
        <w:spacing w:before="72"/>
        <w:ind w:left="0" w:right="1134"/>
        <w:rPr>
          <w:rStyle w:val="default"/>
          <w:rFonts w:cs="FrankRuehl" w:hint="cs"/>
          <w:rtl/>
        </w:rPr>
      </w:pPr>
      <w:bookmarkStart w:id="5" w:name="Seif6"/>
      <w:bookmarkEnd w:id="5"/>
      <w:r>
        <w:rPr>
          <w:rFonts w:cs="Miriam"/>
          <w:lang w:val="he-IL"/>
        </w:rPr>
        <w:pict w14:anchorId="046ADC96">
          <v:rect id="_x0000_s1107" style="position:absolute;left:0;text-align:left;margin-left:464.5pt;margin-top:8.05pt;width:75.05pt;height:27.35pt;z-index:251657728" o:allowincell="f" filled="f" stroked="f" strokecolor="lime" strokeweight=".25pt">
            <v:textbox inset="0,0,0,0">
              <w:txbxContent>
                <w:p w14:paraId="01EF49B5" w14:textId="77777777" w:rsidR="009922C9" w:rsidRDefault="0049351E" w:rsidP="009922C9">
                  <w:pPr>
                    <w:spacing w:line="160" w:lineRule="exact"/>
                    <w:rPr>
                      <w:rFonts w:cs="Miriam" w:hint="cs"/>
                      <w:noProof/>
                      <w:sz w:val="18"/>
                      <w:szCs w:val="18"/>
                      <w:rtl/>
                    </w:rPr>
                  </w:pPr>
                  <w:r>
                    <w:rPr>
                      <w:rFonts w:cs="Miriam" w:hint="cs"/>
                      <w:sz w:val="18"/>
                      <w:szCs w:val="18"/>
                      <w:rtl/>
                    </w:rPr>
                    <w:t>קביעת מועד כניסה לתוקף של שינוי מפרט</w:t>
                  </w:r>
                </w:p>
              </w:txbxContent>
            </v:textbox>
            <w10:anchorlock/>
          </v:rect>
        </w:pict>
      </w:r>
      <w:r w:rsidR="005513F1">
        <w:rPr>
          <w:rStyle w:val="big-number"/>
          <w:rFonts w:cs="Miriam" w:hint="cs"/>
          <w:rtl/>
        </w:rPr>
        <w:t>6</w:t>
      </w:r>
      <w:r>
        <w:rPr>
          <w:rStyle w:val="big-number"/>
          <w:rFonts w:cs="FrankRuehl"/>
          <w:sz w:val="26"/>
          <w:szCs w:val="26"/>
          <w:rtl/>
        </w:rPr>
        <w:t>.</w:t>
      </w:r>
      <w:r>
        <w:rPr>
          <w:rStyle w:val="big-number"/>
          <w:rFonts w:cs="FrankRuehl"/>
          <w:sz w:val="26"/>
          <w:szCs w:val="26"/>
          <w:rtl/>
        </w:rPr>
        <w:tab/>
      </w:r>
      <w:r w:rsidR="0049351E">
        <w:rPr>
          <w:rStyle w:val="default"/>
          <w:rFonts w:cs="FrankRuehl" w:hint="cs"/>
          <w:rtl/>
        </w:rPr>
        <w:t>(א)</w:t>
      </w:r>
      <w:r w:rsidR="0049351E">
        <w:rPr>
          <w:rStyle w:val="default"/>
          <w:rFonts w:cs="FrankRuehl" w:hint="cs"/>
          <w:rtl/>
        </w:rPr>
        <w:tab/>
        <w:t xml:space="preserve">השתנה מפרט, למעט מפרט שהוכרז תקן רשמי, יפרסם המנהל ברשומות ובאתר האינטרנט של המשרד הודעה בדבר השינוי של המפרט ומועד כניסתו לתוקף לעניין צו זה (בסעיף </w:t>
      </w:r>
      <w:r w:rsidR="0049351E">
        <w:rPr>
          <w:rStyle w:val="default"/>
          <w:rFonts w:cs="FrankRuehl" w:hint="cs"/>
          <w:rtl/>
        </w:rPr>
        <w:lastRenderedPageBreak/>
        <w:t xml:space="preserve">זה </w:t>
      </w:r>
      <w:r w:rsidR="0049351E">
        <w:rPr>
          <w:rStyle w:val="default"/>
          <w:rFonts w:cs="FrankRuehl"/>
          <w:rtl/>
        </w:rPr>
        <w:t>–</w:t>
      </w:r>
      <w:r w:rsidR="0049351E">
        <w:rPr>
          <w:rStyle w:val="default"/>
          <w:rFonts w:cs="FrankRuehl" w:hint="cs"/>
          <w:rtl/>
        </w:rPr>
        <w:t xml:space="preserve"> מועד כניסה לתוקף), בכפוף להוראות סעיף קטן (ב)</w:t>
      </w:r>
      <w:r w:rsidR="005513F1">
        <w:rPr>
          <w:rStyle w:val="default"/>
          <w:rFonts w:cs="FrankRuehl" w:hint="cs"/>
          <w:rtl/>
        </w:rPr>
        <w:t>.</w:t>
      </w:r>
    </w:p>
    <w:p w14:paraId="0707AC3B" w14:textId="77777777" w:rsidR="0049351E" w:rsidRDefault="0049351E" w:rsidP="0049351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ציוד קצה העומד בדרישות מפרט בנוסחו ערב מועד פרסום ההודעה כאמור בסעיף קטן (א), יראו בו כציוד קצה העומד בדרישות כאמור בסעיף 2(א)(1) לתקופה של שלושה חודשים ממועד הכניסה לתוקף.</w:t>
      </w:r>
    </w:p>
    <w:p w14:paraId="4C670F87" w14:textId="77777777" w:rsidR="0049351E" w:rsidRDefault="0049351E" w:rsidP="0049351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קטן (ב), מצא המנהל כי במפרט בנוסחו ערב השינוי יש כדי להבטיח את קיום התנאים המפורטים בסעיף 2(א)(2) ו-(3), רשאי הוא להורות בהודעה לפי סעיף קטן (א) על תקופה ארוכה יותר מהתקופה כאמור בסעיף קטן (ב), שלא תעלה על שלוש שנים, ובכלל זה לעניין ציוד קצה מסוג מסוים, וכן על מועד שלאחריו לא יהיה ניתן לייבא ציוד קצה מסוג מסוים.</w:t>
      </w:r>
    </w:p>
    <w:p w14:paraId="28CB7B72" w14:textId="77777777" w:rsidR="009922C9" w:rsidRDefault="009922C9" w:rsidP="0049351E">
      <w:pPr>
        <w:pStyle w:val="P00"/>
        <w:spacing w:before="72"/>
        <w:ind w:left="0" w:right="1134"/>
        <w:rPr>
          <w:rStyle w:val="default"/>
          <w:rFonts w:cs="FrankRuehl" w:hint="cs"/>
          <w:rtl/>
        </w:rPr>
      </w:pPr>
      <w:bookmarkStart w:id="6" w:name="Seif7"/>
      <w:bookmarkEnd w:id="6"/>
      <w:r>
        <w:rPr>
          <w:rFonts w:cs="Miriam"/>
          <w:lang w:val="he-IL"/>
        </w:rPr>
        <w:pict w14:anchorId="129D1BD8">
          <v:rect id="_x0000_s1108" style="position:absolute;left:0;text-align:left;margin-left:464.5pt;margin-top:8.05pt;width:75.05pt;height:14pt;z-index:251658752" o:allowincell="f" filled="f" stroked="f" strokecolor="lime" strokeweight=".25pt">
            <v:textbox inset="0,0,0,0">
              <w:txbxContent>
                <w:p w14:paraId="082B8F86" w14:textId="77777777" w:rsidR="009922C9" w:rsidRDefault="0049351E" w:rsidP="009922C9">
                  <w:pPr>
                    <w:spacing w:line="160" w:lineRule="exact"/>
                    <w:rPr>
                      <w:rFonts w:cs="Miriam" w:hint="cs"/>
                      <w:noProof/>
                      <w:sz w:val="18"/>
                      <w:szCs w:val="18"/>
                      <w:rtl/>
                    </w:rPr>
                  </w:pPr>
                  <w:r>
                    <w:rPr>
                      <w:rFonts w:cs="Miriam" w:hint="cs"/>
                      <w:sz w:val="18"/>
                      <w:szCs w:val="18"/>
                      <w:rtl/>
                    </w:rPr>
                    <w:t>פרסום</w:t>
                  </w:r>
                </w:p>
              </w:txbxContent>
            </v:textbox>
            <w10:anchorlock/>
          </v:rect>
        </w:pict>
      </w:r>
      <w:r w:rsidR="005513F1">
        <w:rPr>
          <w:rStyle w:val="big-number"/>
          <w:rFonts w:cs="Miriam" w:hint="cs"/>
          <w:rtl/>
        </w:rPr>
        <w:t>7</w:t>
      </w:r>
      <w:r>
        <w:rPr>
          <w:rStyle w:val="big-number"/>
          <w:rFonts w:cs="FrankRuehl"/>
          <w:sz w:val="26"/>
          <w:szCs w:val="26"/>
          <w:rtl/>
        </w:rPr>
        <w:t>.</w:t>
      </w:r>
      <w:r>
        <w:rPr>
          <w:rStyle w:val="big-number"/>
          <w:rFonts w:cs="FrankRuehl"/>
          <w:sz w:val="26"/>
          <w:szCs w:val="26"/>
          <w:rtl/>
        </w:rPr>
        <w:tab/>
      </w:r>
      <w:r w:rsidR="0049351E">
        <w:rPr>
          <w:rStyle w:val="default"/>
          <w:rFonts w:cs="FrankRuehl" w:hint="cs"/>
          <w:rtl/>
        </w:rPr>
        <w:t>המנהל יפרסם באתר האינטרנט של המשרד החלטות לפי סעיף 2(ב) וכן אזהרות לציבור כאמור בסעיף 4(ב)</w:t>
      </w:r>
      <w:r w:rsidR="005513F1">
        <w:rPr>
          <w:rStyle w:val="default"/>
          <w:rFonts w:cs="FrankRuehl" w:hint="cs"/>
          <w:rtl/>
        </w:rPr>
        <w:t>.</w:t>
      </w:r>
    </w:p>
    <w:p w14:paraId="214B903E" w14:textId="77777777" w:rsidR="007264C8" w:rsidRDefault="007264C8" w:rsidP="00431CAA">
      <w:pPr>
        <w:pStyle w:val="P00"/>
        <w:spacing w:before="72"/>
        <w:ind w:left="0" w:right="1134"/>
        <w:rPr>
          <w:rStyle w:val="default"/>
          <w:rFonts w:cs="FrankRuehl" w:hint="cs"/>
          <w:rtl/>
        </w:rPr>
      </w:pPr>
    </w:p>
    <w:p w14:paraId="6AE96D77" w14:textId="77777777" w:rsidR="007264C8" w:rsidRPr="00A20CB7" w:rsidRDefault="0049351E" w:rsidP="00A20CB7">
      <w:pPr>
        <w:pStyle w:val="medium2-header"/>
        <w:keepLines w:val="0"/>
        <w:spacing w:before="72"/>
        <w:ind w:left="0" w:right="1134"/>
        <w:rPr>
          <w:rFonts w:cs="FrankRuehl" w:hint="cs"/>
          <w:noProof/>
          <w:rtl/>
        </w:rPr>
      </w:pPr>
      <w:bookmarkStart w:id="7" w:name="med0"/>
      <w:bookmarkEnd w:id="7"/>
      <w:r w:rsidRPr="00A20CB7">
        <w:rPr>
          <w:rFonts w:cs="FrankRuehl" w:hint="cs"/>
          <w:noProof/>
          <w:rtl/>
        </w:rPr>
        <w:t>תוספת</w:t>
      </w:r>
    </w:p>
    <w:p w14:paraId="1819715C" w14:textId="77777777" w:rsidR="007264C8" w:rsidRPr="00A20CB7" w:rsidRDefault="0049351E" w:rsidP="00A20CB7">
      <w:pPr>
        <w:pStyle w:val="P00"/>
        <w:spacing w:before="72"/>
        <w:ind w:left="0" w:right="1134"/>
        <w:jc w:val="center"/>
        <w:rPr>
          <w:rStyle w:val="default"/>
          <w:rFonts w:cs="FrankRuehl" w:hint="cs"/>
          <w:sz w:val="24"/>
          <w:szCs w:val="24"/>
          <w:rtl/>
        </w:rPr>
      </w:pPr>
      <w:r w:rsidRPr="00A20CB7">
        <w:rPr>
          <w:rStyle w:val="default"/>
          <w:rFonts w:cs="FrankRuehl" w:hint="cs"/>
          <w:sz w:val="24"/>
          <w:szCs w:val="24"/>
          <w:rtl/>
        </w:rPr>
        <w:t>(סעיפים 2 ו-6)</w:t>
      </w:r>
    </w:p>
    <w:p w14:paraId="231E851B" w14:textId="77777777" w:rsidR="0049351E" w:rsidRDefault="0049351E" w:rsidP="00431CAA">
      <w:pPr>
        <w:pStyle w:val="P00"/>
        <w:spacing w:before="72"/>
        <w:ind w:left="0"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בתוספת זו </w:t>
      </w:r>
      <w:r>
        <w:rPr>
          <w:rStyle w:val="default"/>
          <w:rFonts w:cs="FrankRuehl"/>
          <w:sz w:val="20"/>
          <w:rtl/>
        </w:rPr>
        <w:t>–</w:t>
      </w:r>
    </w:p>
    <w:p w14:paraId="64E51680" w14:textId="77777777" w:rsidR="0049351E" w:rsidRDefault="0049351E" w:rsidP="006B185F">
      <w:pPr>
        <w:pStyle w:val="P00"/>
        <w:spacing w:before="72"/>
        <w:ind w:left="624" w:right="1134"/>
        <w:rPr>
          <w:rStyle w:val="default"/>
          <w:rFonts w:cs="FrankRuehl" w:hint="cs"/>
          <w:sz w:val="20"/>
          <w:rtl/>
        </w:rPr>
      </w:pPr>
      <w:r>
        <w:rPr>
          <w:rStyle w:val="default"/>
          <w:rFonts w:cs="FrankRuehl" w:hint="cs"/>
          <w:sz w:val="20"/>
          <w:rtl/>
        </w:rPr>
        <w:t xml:space="preserve">"ת"י" </w:t>
      </w:r>
      <w:r>
        <w:rPr>
          <w:rStyle w:val="default"/>
          <w:rFonts w:cs="FrankRuehl"/>
          <w:sz w:val="20"/>
          <w:rtl/>
        </w:rPr>
        <w:t>–</w:t>
      </w:r>
      <w:r>
        <w:rPr>
          <w:rStyle w:val="default"/>
          <w:rFonts w:cs="FrankRuehl" w:hint="cs"/>
          <w:sz w:val="20"/>
          <w:rtl/>
        </w:rPr>
        <w:t xml:space="preserve"> תקן ישראלי</w:t>
      </w:r>
      <w:r w:rsidR="001E5900">
        <w:rPr>
          <w:rStyle w:val="default"/>
          <w:rFonts w:cs="FrankRuehl" w:hint="cs"/>
          <w:sz w:val="20"/>
          <w:rtl/>
        </w:rPr>
        <w:t xml:space="preserve"> כמשמעותו בחוק התקנים, התשי"ג-1953;</w:t>
      </w:r>
    </w:p>
    <w:p w14:paraId="439D2775" w14:textId="77777777" w:rsidR="001E5900" w:rsidRDefault="001E5900" w:rsidP="006B185F">
      <w:pPr>
        <w:pStyle w:val="P00"/>
        <w:spacing w:before="72"/>
        <w:ind w:left="624" w:right="1134"/>
        <w:rPr>
          <w:rStyle w:val="default"/>
          <w:rFonts w:cs="FrankRuehl" w:hint="cs"/>
          <w:sz w:val="20"/>
          <w:rtl/>
        </w:rPr>
      </w:pPr>
      <w:r>
        <w:rPr>
          <w:rStyle w:val="default"/>
          <w:rFonts w:cs="FrankRuehl" w:hint="cs"/>
          <w:sz w:val="20"/>
          <w:rtl/>
        </w:rPr>
        <w:t>"</w:t>
      </w:r>
      <w:r>
        <w:rPr>
          <w:rStyle w:val="default"/>
          <w:rFonts w:cs="FrankRuehl"/>
          <w:sz w:val="20"/>
        </w:rPr>
        <w:t>ACMA</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w:t>
      </w:r>
      <w:r>
        <w:rPr>
          <w:rStyle w:val="default"/>
          <w:rFonts w:cs="FrankRuehl"/>
          <w:sz w:val="20"/>
        </w:rPr>
        <w:t>Australian Communications and Media Authority</w:t>
      </w:r>
      <w:r>
        <w:rPr>
          <w:rStyle w:val="default"/>
          <w:rFonts w:cs="FrankRuehl" w:hint="cs"/>
          <w:sz w:val="20"/>
          <w:rtl/>
        </w:rPr>
        <w:t>, רשות התקשורת והמדיה האוסטרלית</w:t>
      </w:r>
      <w:r>
        <w:rPr>
          <w:rStyle w:val="a6"/>
          <w:rFonts w:cs="FrankRuehl"/>
          <w:rtl/>
        </w:rPr>
        <w:footnoteReference w:id="3"/>
      </w:r>
      <w:r>
        <w:rPr>
          <w:rStyle w:val="default"/>
          <w:rFonts w:cs="FrankRuehl" w:hint="cs"/>
          <w:sz w:val="20"/>
          <w:rtl/>
        </w:rPr>
        <w:t>;</w:t>
      </w:r>
    </w:p>
    <w:p w14:paraId="7EFF901D" w14:textId="77777777" w:rsidR="001E5900" w:rsidRDefault="001E5900" w:rsidP="006B185F">
      <w:pPr>
        <w:pStyle w:val="P00"/>
        <w:spacing w:before="72"/>
        <w:ind w:left="624" w:right="1134"/>
        <w:rPr>
          <w:rStyle w:val="default"/>
          <w:rFonts w:cs="FrankRuehl" w:hint="cs"/>
          <w:sz w:val="20"/>
          <w:rtl/>
        </w:rPr>
      </w:pPr>
      <w:r>
        <w:rPr>
          <w:rStyle w:val="default"/>
          <w:rFonts w:cs="FrankRuehl" w:hint="cs"/>
          <w:sz w:val="20"/>
          <w:rtl/>
        </w:rPr>
        <w:t>"</w:t>
      </w:r>
      <w:r>
        <w:rPr>
          <w:rStyle w:val="default"/>
          <w:rFonts w:cs="FrankRuehl"/>
          <w:sz w:val="20"/>
        </w:rPr>
        <w:t>ACTA</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w:t>
      </w:r>
      <w:r>
        <w:rPr>
          <w:rStyle w:val="default"/>
          <w:rFonts w:cs="FrankRuehl"/>
          <w:sz w:val="20"/>
        </w:rPr>
        <w:t>Administrative Council for Terminal Attachments</w:t>
      </w:r>
      <w:r>
        <w:rPr>
          <w:rStyle w:val="default"/>
          <w:rFonts w:cs="FrankRuehl" w:hint="cs"/>
          <w:sz w:val="20"/>
          <w:rtl/>
        </w:rPr>
        <w:t>, המועצה לענייני ציוד קצה של ארצות הברית;</w:t>
      </w:r>
    </w:p>
    <w:p w14:paraId="2D4895DB" w14:textId="77777777" w:rsidR="001E5900" w:rsidRDefault="001E5900" w:rsidP="006B185F">
      <w:pPr>
        <w:pStyle w:val="P00"/>
        <w:spacing w:before="72"/>
        <w:ind w:left="624" w:right="1134"/>
        <w:rPr>
          <w:rStyle w:val="default"/>
          <w:rFonts w:cs="FrankRuehl" w:hint="cs"/>
          <w:sz w:val="20"/>
          <w:rtl/>
        </w:rPr>
      </w:pPr>
      <w:r>
        <w:rPr>
          <w:rStyle w:val="default"/>
          <w:rFonts w:cs="FrankRuehl" w:hint="cs"/>
          <w:sz w:val="20"/>
          <w:rtl/>
        </w:rPr>
        <w:t>"</w:t>
      </w:r>
      <w:r>
        <w:rPr>
          <w:rStyle w:val="default"/>
          <w:rFonts w:cs="FrankRuehl"/>
          <w:sz w:val="20"/>
        </w:rPr>
        <w:t>ANSI</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w:t>
      </w:r>
      <w:r>
        <w:rPr>
          <w:rStyle w:val="default"/>
          <w:rFonts w:cs="FrankRuehl"/>
          <w:sz w:val="20"/>
        </w:rPr>
        <w:t>American National Standards Institute</w:t>
      </w:r>
      <w:r>
        <w:rPr>
          <w:rStyle w:val="default"/>
          <w:rFonts w:cs="FrankRuehl" w:hint="cs"/>
          <w:sz w:val="20"/>
          <w:rtl/>
        </w:rPr>
        <w:t>, מכון התקנים האמריקאי;</w:t>
      </w:r>
    </w:p>
    <w:p w14:paraId="54A9CCFF" w14:textId="77777777" w:rsidR="001E5900" w:rsidRDefault="001E5900" w:rsidP="006B185F">
      <w:pPr>
        <w:pStyle w:val="P00"/>
        <w:spacing w:before="72"/>
        <w:ind w:left="624" w:right="1134"/>
        <w:rPr>
          <w:rStyle w:val="default"/>
          <w:rFonts w:cs="FrankRuehl" w:hint="cs"/>
          <w:sz w:val="20"/>
          <w:rtl/>
        </w:rPr>
      </w:pPr>
      <w:r>
        <w:rPr>
          <w:rStyle w:val="default"/>
          <w:rFonts w:cs="FrankRuehl" w:hint="cs"/>
          <w:sz w:val="20"/>
          <w:rtl/>
        </w:rPr>
        <w:t>"</w:t>
      </w:r>
      <w:r>
        <w:rPr>
          <w:rStyle w:val="default"/>
          <w:rFonts w:cs="FrankRuehl"/>
          <w:sz w:val="20"/>
        </w:rPr>
        <w:t>CableLabs</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תאגיד אמריקאי, שלא למטרות רווח, למחקר ופיתוח של טכנולוגיות תקשורת באמצעות רשתות כבלים, המשמשות לשידורי טלוויזיה רב-ערוצית למנויים;</w:t>
      </w:r>
    </w:p>
    <w:p w14:paraId="112A35B2" w14:textId="77777777" w:rsidR="001E5900" w:rsidRDefault="001E5900" w:rsidP="006B185F">
      <w:pPr>
        <w:pStyle w:val="P00"/>
        <w:spacing w:before="72"/>
        <w:ind w:left="624" w:right="1134"/>
        <w:rPr>
          <w:rStyle w:val="default"/>
          <w:rFonts w:cs="FrankRuehl" w:hint="cs"/>
          <w:sz w:val="20"/>
          <w:rtl/>
        </w:rPr>
      </w:pPr>
      <w:r>
        <w:rPr>
          <w:rStyle w:val="default"/>
          <w:rFonts w:cs="FrankRuehl" w:hint="cs"/>
          <w:sz w:val="20"/>
          <w:rtl/>
        </w:rPr>
        <w:t>"</w:t>
      </w:r>
      <w:r>
        <w:rPr>
          <w:rStyle w:val="default"/>
          <w:rFonts w:cs="FrankRuehl"/>
          <w:sz w:val="20"/>
        </w:rPr>
        <w:t>ETSI</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w:t>
      </w:r>
      <w:r>
        <w:rPr>
          <w:rStyle w:val="default"/>
          <w:rFonts w:cs="FrankRuehl"/>
          <w:sz w:val="20"/>
        </w:rPr>
        <w:t>European Telecommunications Standards Institute</w:t>
      </w:r>
      <w:r>
        <w:rPr>
          <w:rStyle w:val="default"/>
          <w:rFonts w:cs="FrankRuehl" w:hint="cs"/>
          <w:sz w:val="20"/>
          <w:rtl/>
        </w:rPr>
        <w:t>, המכון האירופי לתקני תקשורת;</w:t>
      </w:r>
    </w:p>
    <w:p w14:paraId="1B5AA616" w14:textId="77777777" w:rsidR="001E5900" w:rsidRDefault="001E5900" w:rsidP="006B185F">
      <w:pPr>
        <w:pStyle w:val="P00"/>
        <w:spacing w:before="72"/>
        <w:ind w:left="624" w:right="1134"/>
        <w:rPr>
          <w:rStyle w:val="default"/>
          <w:rFonts w:cs="FrankRuehl" w:hint="cs"/>
          <w:sz w:val="20"/>
          <w:rtl/>
        </w:rPr>
      </w:pPr>
      <w:r>
        <w:rPr>
          <w:rStyle w:val="default"/>
          <w:rFonts w:cs="FrankRuehl" w:hint="cs"/>
          <w:sz w:val="20"/>
          <w:rtl/>
        </w:rPr>
        <w:t>"</w:t>
      </w:r>
      <w:r>
        <w:rPr>
          <w:rStyle w:val="default"/>
          <w:rFonts w:cs="FrankRuehl"/>
          <w:sz w:val="20"/>
        </w:rPr>
        <w:t>FCC</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w:t>
      </w:r>
      <w:r>
        <w:rPr>
          <w:rStyle w:val="default"/>
          <w:rFonts w:cs="FrankRuehl"/>
          <w:sz w:val="20"/>
        </w:rPr>
        <w:t>Federal Communications Commission</w:t>
      </w:r>
      <w:r>
        <w:rPr>
          <w:rStyle w:val="default"/>
          <w:rFonts w:cs="FrankRuehl" w:hint="cs"/>
          <w:sz w:val="20"/>
          <w:rtl/>
        </w:rPr>
        <w:t>, רשות התקשורת הפדרלית של ארצות הברית של אמריקה;</w:t>
      </w:r>
    </w:p>
    <w:p w14:paraId="7FA26B36" w14:textId="77777777" w:rsidR="001E5900" w:rsidRDefault="001E5900" w:rsidP="006B185F">
      <w:pPr>
        <w:pStyle w:val="P00"/>
        <w:spacing w:before="72"/>
        <w:ind w:left="624" w:right="1134"/>
        <w:rPr>
          <w:rStyle w:val="default"/>
          <w:rFonts w:cs="FrankRuehl" w:hint="cs"/>
          <w:sz w:val="20"/>
          <w:rtl/>
        </w:rPr>
      </w:pPr>
      <w:r>
        <w:rPr>
          <w:rStyle w:val="default"/>
          <w:rFonts w:cs="FrankRuehl" w:hint="cs"/>
          <w:sz w:val="20"/>
          <w:rtl/>
        </w:rPr>
        <w:t>"</w:t>
      </w:r>
      <w:r>
        <w:rPr>
          <w:rStyle w:val="default"/>
          <w:rFonts w:cs="FrankRuehl"/>
          <w:sz w:val="20"/>
        </w:rPr>
        <w:t>IC</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w:t>
      </w:r>
      <w:r>
        <w:rPr>
          <w:rStyle w:val="default"/>
          <w:rFonts w:cs="FrankRuehl"/>
          <w:sz w:val="20"/>
        </w:rPr>
        <w:t>Industry Canada</w:t>
      </w:r>
      <w:r>
        <w:rPr>
          <w:rStyle w:val="default"/>
          <w:rFonts w:cs="FrankRuehl" w:hint="cs"/>
          <w:sz w:val="20"/>
          <w:rtl/>
        </w:rPr>
        <w:t>, הרשות לקידום תעשייה בממשל הפדרלי של קנדה;</w:t>
      </w:r>
    </w:p>
    <w:p w14:paraId="14F7F2ED" w14:textId="77777777" w:rsidR="001E5900" w:rsidRDefault="001E5900" w:rsidP="006B185F">
      <w:pPr>
        <w:pStyle w:val="P00"/>
        <w:spacing w:before="72"/>
        <w:ind w:left="624" w:right="1134"/>
        <w:rPr>
          <w:rStyle w:val="default"/>
          <w:rFonts w:cs="FrankRuehl" w:hint="cs"/>
          <w:sz w:val="20"/>
          <w:rtl/>
        </w:rPr>
      </w:pPr>
      <w:r>
        <w:rPr>
          <w:rStyle w:val="default"/>
          <w:rFonts w:cs="FrankRuehl" w:hint="cs"/>
          <w:sz w:val="20"/>
          <w:rtl/>
        </w:rPr>
        <w:t>"</w:t>
      </w:r>
      <w:r>
        <w:rPr>
          <w:rStyle w:val="default"/>
          <w:rFonts w:cs="FrankRuehl"/>
          <w:sz w:val="20"/>
        </w:rPr>
        <w:t>ITU-T</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w:t>
      </w:r>
      <w:r>
        <w:rPr>
          <w:rStyle w:val="default"/>
          <w:rFonts w:cs="FrankRuehl"/>
          <w:sz w:val="20"/>
        </w:rPr>
        <w:t>International Telecommunication Standardization Sector Telecommunication Union</w:t>
      </w:r>
      <w:r>
        <w:rPr>
          <w:rStyle w:val="default"/>
          <w:rFonts w:cs="FrankRuehl" w:hint="cs"/>
          <w:sz w:val="20"/>
          <w:rtl/>
        </w:rPr>
        <w:t xml:space="preserve">, איגוד התקשורת הבין-לאומי </w:t>
      </w:r>
      <w:r>
        <w:rPr>
          <w:rStyle w:val="default"/>
          <w:rFonts w:cs="FrankRuehl"/>
          <w:sz w:val="20"/>
          <w:rtl/>
        </w:rPr>
        <w:t>–</w:t>
      </w:r>
      <w:r>
        <w:rPr>
          <w:rStyle w:val="default"/>
          <w:rFonts w:cs="FrankRuehl" w:hint="cs"/>
          <w:sz w:val="20"/>
          <w:rtl/>
        </w:rPr>
        <w:t xml:space="preserve"> סקטור תקינת תקשורת;</w:t>
      </w:r>
    </w:p>
    <w:p w14:paraId="072F2EC4" w14:textId="77777777" w:rsidR="001E5900" w:rsidRDefault="001E5900" w:rsidP="006B185F">
      <w:pPr>
        <w:pStyle w:val="P00"/>
        <w:spacing w:before="72"/>
        <w:ind w:left="624" w:right="1134"/>
        <w:rPr>
          <w:rStyle w:val="default"/>
          <w:rFonts w:cs="FrankRuehl" w:hint="cs"/>
          <w:sz w:val="20"/>
          <w:rtl/>
        </w:rPr>
      </w:pPr>
      <w:r>
        <w:rPr>
          <w:rStyle w:val="default"/>
          <w:rFonts w:cs="FrankRuehl" w:hint="cs"/>
          <w:sz w:val="20"/>
          <w:rtl/>
        </w:rPr>
        <w:t>"</w:t>
      </w:r>
      <w:r w:rsidR="00AE792C">
        <w:rPr>
          <w:rStyle w:val="default"/>
          <w:rFonts w:cs="FrankRuehl"/>
          <w:sz w:val="20"/>
        </w:rPr>
        <w:t>SIP Forum</w:t>
      </w:r>
      <w:r w:rsidR="00AE792C">
        <w:rPr>
          <w:rStyle w:val="default"/>
          <w:rFonts w:cs="FrankRuehl" w:hint="cs"/>
          <w:sz w:val="20"/>
          <w:rtl/>
        </w:rPr>
        <w:t xml:space="preserve">" </w:t>
      </w:r>
      <w:r w:rsidR="00AE792C">
        <w:rPr>
          <w:rStyle w:val="default"/>
          <w:rFonts w:cs="FrankRuehl"/>
          <w:sz w:val="20"/>
          <w:rtl/>
        </w:rPr>
        <w:t>–</w:t>
      </w:r>
      <w:r w:rsidR="00AE792C">
        <w:rPr>
          <w:rStyle w:val="default"/>
          <w:rFonts w:cs="FrankRuehl" w:hint="cs"/>
          <w:sz w:val="20"/>
          <w:rtl/>
        </w:rPr>
        <w:t xml:space="preserve"> </w:t>
      </w:r>
      <w:r w:rsidR="00AE792C">
        <w:rPr>
          <w:rStyle w:val="default"/>
          <w:rFonts w:cs="FrankRuehl"/>
          <w:sz w:val="20"/>
        </w:rPr>
        <w:t>Session Initiation Protocol Forum</w:t>
      </w:r>
      <w:r w:rsidR="00AE792C">
        <w:rPr>
          <w:rStyle w:val="default"/>
          <w:rFonts w:cs="FrankRuehl" w:hint="cs"/>
          <w:sz w:val="20"/>
          <w:rtl/>
        </w:rPr>
        <w:t xml:space="preserve">, איגוד של חברות תקשורת בתעשיית האינטרנט המקדמות פרוטוקול איתות מסוג </w:t>
      </w:r>
      <w:r w:rsidR="00AE792C">
        <w:rPr>
          <w:rStyle w:val="default"/>
          <w:rFonts w:cs="FrankRuehl"/>
          <w:sz w:val="20"/>
        </w:rPr>
        <w:t>SIP</w:t>
      </w:r>
      <w:r w:rsidR="00AE792C">
        <w:rPr>
          <w:rStyle w:val="default"/>
          <w:rFonts w:cs="FrankRuehl" w:hint="cs"/>
          <w:sz w:val="20"/>
          <w:rtl/>
        </w:rPr>
        <w:t>.</w:t>
      </w:r>
    </w:p>
    <w:p w14:paraId="3821BF50" w14:textId="77777777" w:rsidR="00AE792C" w:rsidRDefault="00AE792C" w:rsidP="006B185F">
      <w:pPr>
        <w:pStyle w:val="P00"/>
        <w:spacing w:before="72"/>
        <w:ind w:left="624" w:right="1134" w:hanging="624"/>
        <w:rPr>
          <w:rStyle w:val="default"/>
          <w:rFonts w:cs="FrankRuehl" w:hint="cs"/>
          <w:sz w:val="20"/>
          <w:rtl/>
        </w:rPr>
      </w:pPr>
      <w:r>
        <w:rPr>
          <w:rStyle w:val="default"/>
          <w:rFonts w:cs="FrankRuehl" w:hint="cs"/>
          <w:sz w:val="20"/>
          <w:rtl/>
        </w:rPr>
        <w:t>2.</w:t>
      </w:r>
      <w:r>
        <w:rPr>
          <w:rStyle w:val="default"/>
          <w:rFonts w:cs="FrankRuehl" w:hint="cs"/>
          <w:sz w:val="20"/>
          <w:rtl/>
        </w:rPr>
        <w:tab/>
        <w:t>ציוד קצה אנלוגי הפועל לפי אחד מהתקנים האלה, ונושא סימן המעיד על כך, כמפורט להלן:</w:t>
      </w:r>
    </w:p>
    <w:p w14:paraId="01B53D0D" w14:textId="77777777" w:rsidR="00AE792C" w:rsidRDefault="00AE792C" w:rsidP="00603266">
      <w:pPr>
        <w:pStyle w:val="P00"/>
        <w:spacing w:before="72"/>
        <w:ind w:left="624" w:right="1134"/>
        <w:rPr>
          <w:rStyle w:val="default"/>
          <w:rFonts w:cs="FrankRuehl" w:hint="cs"/>
          <w:sz w:val="20"/>
          <w:rtl/>
        </w:rPr>
      </w:pPr>
      <w:r>
        <w:rPr>
          <w:rStyle w:val="default"/>
          <w:rFonts w:cs="FrankRuehl" w:hint="cs"/>
          <w:sz w:val="20"/>
          <w:rtl/>
        </w:rPr>
        <w:t>(1)</w:t>
      </w:r>
      <w:r>
        <w:rPr>
          <w:rStyle w:val="default"/>
          <w:rFonts w:cs="FrankRuehl" w:hint="cs"/>
          <w:sz w:val="20"/>
          <w:rtl/>
        </w:rPr>
        <w:tab/>
      </w:r>
      <w:r>
        <w:rPr>
          <w:rStyle w:val="default"/>
          <w:rFonts w:cs="FrankRuehl"/>
          <w:sz w:val="20"/>
        </w:rPr>
        <w:t>ACTA TIA-968-B</w:t>
      </w:r>
      <w:r>
        <w:rPr>
          <w:rStyle w:val="a6"/>
          <w:rFonts w:cs="FrankRuehl"/>
          <w:rtl/>
        </w:rPr>
        <w:footnoteReference w:id="4"/>
      </w:r>
      <w:r>
        <w:rPr>
          <w:rStyle w:val="default"/>
          <w:rFonts w:cs="FrankRuehl" w:hint="cs"/>
          <w:sz w:val="20"/>
          <w:rtl/>
        </w:rPr>
        <w:t>,</w:t>
      </w:r>
      <w:r w:rsidR="00C85DDF">
        <w:rPr>
          <w:rStyle w:val="default"/>
          <w:rFonts w:cs="FrankRuehl" w:hint="cs"/>
          <w:sz w:val="20"/>
          <w:rtl/>
        </w:rPr>
        <w:t xml:space="preserve"> המסומן לפי </w:t>
      </w:r>
      <w:r w:rsidR="00C85DDF">
        <w:rPr>
          <w:rStyle w:val="default"/>
          <w:rFonts w:cs="FrankRuehl"/>
          <w:sz w:val="20"/>
        </w:rPr>
        <w:t>TIA-168-B</w:t>
      </w:r>
      <w:r w:rsidR="00C85DDF">
        <w:rPr>
          <w:rStyle w:val="default"/>
          <w:rFonts w:cs="FrankRuehl" w:hint="cs"/>
          <w:sz w:val="20"/>
          <w:rtl/>
        </w:rPr>
        <w:t xml:space="preserve">, או </w:t>
      </w:r>
      <w:r w:rsidR="00C85DDF">
        <w:rPr>
          <w:rStyle w:val="default"/>
          <w:rFonts w:cs="FrankRuehl"/>
          <w:sz w:val="20"/>
        </w:rPr>
        <w:t>CFR 47 Part 68</w:t>
      </w:r>
      <w:r w:rsidR="00C85DDF">
        <w:rPr>
          <w:rStyle w:val="a6"/>
          <w:rFonts w:cs="FrankRuehl"/>
          <w:rtl/>
        </w:rPr>
        <w:footnoteReference w:id="5"/>
      </w:r>
      <w:r w:rsidR="00C85DDF">
        <w:rPr>
          <w:rStyle w:val="default"/>
          <w:rFonts w:cs="FrankRuehl" w:hint="cs"/>
          <w:sz w:val="20"/>
          <w:rtl/>
        </w:rPr>
        <w:t>;</w:t>
      </w:r>
    </w:p>
    <w:p w14:paraId="20F3DF29" w14:textId="77777777" w:rsidR="00C85DDF" w:rsidRDefault="00C85DDF" w:rsidP="00603266">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r>
      <w:r>
        <w:rPr>
          <w:rStyle w:val="default"/>
          <w:rFonts w:cs="FrankRuehl"/>
          <w:sz w:val="20"/>
        </w:rPr>
        <w:t>ETSI ES 203 021</w:t>
      </w:r>
      <w:r>
        <w:rPr>
          <w:rStyle w:val="a6"/>
          <w:rFonts w:cs="FrankRuehl"/>
          <w:rtl/>
        </w:rPr>
        <w:footnoteReference w:id="6"/>
      </w:r>
      <w:r>
        <w:rPr>
          <w:rStyle w:val="default"/>
          <w:rFonts w:cs="FrankRuehl" w:hint="cs"/>
          <w:sz w:val="20"/>
          <w:rtl/>
        </w:rPr>
        <w:t xml:space="preserve">, או </w:t>
      </w:r>
      <w:r>
        <w:rPr>
          <w:rStyle w:val="default"/>
          <w:rFonts w:cs="FrankRuehl"/>
          <w:sz w:val="20"/>
        </w:rPr>
        <w:t>TBR21 1998</w:t>
      </w:r>
      <w:r>
        <w:rPr>
          <w:rStyle w:val="default"/>
          <w:rFonts w:cs="FrankRuehl" w:hint="cs"/>
          <w:sz w:val="20"/>
          <w:rtl/>
        </w:rPr>
        <w:t xml:space="preserve">, הנושא סימון </w:t>
      </w:r>
      <w:r>
        <w:rPr>
          <w:rStyle w:val="default"/>
          <w:rFonts w:cs="FrankRuehl"/>
          <w:sz w:val="20"/>
        </w:rPr>
        <w:t>CE</w:t>
      </w:r>
      <w:r>
        <w:rPr>
          <w:rStyle w:val="a6"/>
          <w:rFonts w:cs="FrankRuehl"/>
          <w:rtl/>
        </w:rPr>
        <w:footnoteReference w:id="7"/>
      </w:r>
      <w:r>
        <w:rPr>
          <w:rStyle w:val="default"/>
          <w:rFonts w:cs="FrankRuehl" w:hint="cs"/>
          <w:sz w:val="20"/>
          <w:rtl/>
        </w:rPr>
        <w:t>;</w:t>
      </w:r>
    </w:p>
    <w:p w14:paraId="46C4EDA8" w14:textId="77777777" w:rsidR="00C85DDF" w:rsidRDefault="00C85DDF" w:rsidP="00603266">
      <w:pPr>
        <w:pStyle w:val="P00"/>
        <w:spacing w:before="72"/>
        <w:ind w:left="624" w:right="1134"/>
        <w:rPr>
          <w:rStyle w:val="default"/>
          <w:rFonts w:cs="FrankRuehl" w:hint="cs"/>
          <w:sz w:val="20"/>
          <w:rtl/>
        </w:rPr>
      </w:pPr>
      <w:r>
        <w:rPr>
          <w:rStyle w:val="default"/>
          <w:rFonts w:cs="FrankRuehl" w:hint="cs"/>
          <w:sz w:val="20"/>
          <w:rtl/>
        </w:rPr>
        <w:t>(3)</w:t>
      </w:r>
      <w:r>
        <w:rPr>
          <w:rStyle w:val="default"/>
          <w:rFonts w:cs="FrankRuehl" w:hint="cs"/>
          <w:sz w:val="20"/>
          <w:rtl/>
        </w:rPr>
        <w:tab/>
      </w:r>
      <w:r>
        <w:rPr>
          <w:rStyle w:val="default"/>
          <w:rFonts w:cs="FrankRuehl"/>
          <w:sz w:val="20"/>
        </w:rPr>
        <w:t>CS-03 Part I</w:t>
      </w:r>
      <w:r>
        <w:rPr>
          <w:rStyle w:val="a6"/>
          <w:rFonts w:cs="FrankRuehl"/>
          <w:rtl/>
        </w:rPr>
        <w:footnoteReference w:id="8"/>
      </w:r>
      <w:r>
        <w:rPr>
          <w:rStyle w:val="default"/>
          <w:rFonts w:cs="FrankRuehl" w:hint="cs"/>
          <w:sz w:val="20"/>
          <w:rtl/>
        </w:rPr>
        <w:t xml:space="preserve"> המסומן לפי </w:t>
      </w:r>
      <w:r>
        <w:rPr>
          <w:rStyle w:val="default"/>
          <w:rFonts w:cs="FrankRuehl"/>
          <w:sz w:val="20"/>
        </w:rPr>
        <w:t>DC-01</w:t>
      </w:r>
      <w:r>
        <w:rPr>
          <w:rStyle w:val="a6"/>
          <w:rFonts w:cs="FrankRuehl"/>
          <w:rtl/>
        </w:rPr>
        <w:footnoteReference w:id="9"/>
      </w:r>
      <w:r>
        <w:rPr>
          <w:rStyle w:val="default"/>
          <w:rFonts w:cs="FrankRuehl" w:hint="cs"/>
          <w:sz w:val="20"/>
          <w:rtl/>
        </w:rPr>
        <w:t xml:space="preserve">, על ידי </w:t>
      </w:r>
      <w:r>
        <w:rPr>
          <w:rStyle w:val="default"/>
          <w:rFonts w:cs="FrankRuehl"/>
          <w:sz w:val="20"/>
        </w:rPr>
        <w:t>IC</w:t>
      </w:r>
      <w:r>
        <w:rPr>
          <w:rStyle w:val="default"/>
          <w:rFonts w:cs="FrankRuehl" w:hint="cs"/>
          <w:sz w:val="20"/>
          <w:rtl/>
        </w:rPr>
        <w:t>;</w:t>
      </w:r>
    </w:p>
    <w:p w14:paraId="0BDE14A2" w14:textId="77777777" w:rsidR="00C85DDF" w:rsidRDefault="00942E80" w:rsidP="00942E80">
      <w:pPr>
        <w:pStyle w:val="P00"/>
        <w:spacing w:before="72"/>
        <w:ind w:left="624" w:right="1134"/>
        <w:rPr>
          <w:rStyle w:val="default"/>
          <w:rFonts w:cs="FrankRuehl" w:hint="cs"/>
          <w:sz w:val="20"/>
          <w:rtl/>
        </w:rPr>
      </w:pPr>
      <w:r>
        <w:rPr>
          <w:rFonts w:cs="FrankRuehl" w:hint="cs"/>
          <w:rtl/>
          <w:lang w:eastAsia="en-US"/>
        </w:rPr>
        <w:pict w14:anchorId="3041ED89">
          <v:shapetype id="_x0000_t202" coordsize="21600,21600" o:spt="202" path="m,l,21600r21600,l21600,xe">
            <v:stroke joinstyle="miter"/>
            <v:path gradientshapeok="t" o:connecttype="rect"/>
          </v:shapetype>
          <v:shape id="_x0000_s1115" type="#_x0000_t202" style="position:absolute;left:0;text-align:left;margin-left:467.1pt;margin-top:7.1pt;width:75.25pt;height:13.3pt;z-index:251659776" filled="f" stroked="f">
            <v:textbox inset="1mm,0,1mm,0">
              <w:txbxContent>
                <w:p w14:paraId="175220A1" w14:textId="77777777" w:rsidR="00942E80" w:rsidRDefault="00942E80" w:rsidP="00942E80">
                  <w:pPr>
                    <w:spacing w:line="160" w:lineRule="exact"/>
                    <w:rPr>
                      <w:rFonts w:cs="Miriam" w:hint="cs"/>
                      <w:noProof/>
                      <w:sz w:val="18"/>
                      <w:szCs w:val="18"/>
                      <w:rtl/>
                    </w:rPr>
                  </w:pPr>
                  <w:r>
                    <w:rPr>
                      <w:rFonts w:cs="Miriam" w:hint="cs"/>
                      <w:sz w:val="18"/>
                      <w:szCs w:val="18"/>
                      <w:rtl/>
                    </w:rPr>
                    <w:t>הודעה תשע"ו-2016</w:t>
                  </w:r>
                </w:p>
              </w:txbxContent>
            </v:textbox>
            <w10:anchorlock/>
          </v:shape>
        </w:pict>
      </w:r>
      <w:r w:rsidR="00C85DDF">
        <w:rPr>
          <w:rStyle w:val="default"/>
          <w:rFonts w:cs="FrankRuehl" w:hint="cs"/>
          <w:sz w:val="20"/>
          <w:rtl/>
        </w:rPr>
        <w:t>(4)</w:t>
      </w:r>
      <w:r w:rsidR="00C85DDF">
        <w:rPr>
          <w:rStyle w:val="default"/>
          <w:rFonts w:cs="FrankRuehl" w:hint="cs"/>
          <w:sz w:val="20"/>
          <w:rtl/>
        </w:rPr>
        <w:tab/>
      </w:r>
      <w:r w:rsidR="00603266">
        <w:rPr>
          <w:rStyle w:val="default"/>
          <w:rFonts w:cs="FrankRuehl"/>
          <w:sz w:val="20"/>
        </w:rPr>
        <w:t>AS/CA S002:2011 Standards</w:t>
      </w:r>
      <w:r w:rsidR="00603266">
        <w:rPr>
          <w:rStyle w:val="a6"/>
          <w:rFonts w:cs="FrankRuehl"/>
          <w:rtl/>
        </w:rPr>
        <w:footnoteReference w:id="10"/>
      </w:r>
      <w:r w:rsidR="00603266">
        <w:rPr>
          <w:rStyle w:val="default"/>
          <w:rFonts w:cs="FrankRuehl" w:hint="cs"/>
          <w:sz w:val="20"/>
          <w:rtl/>
        </w:rPr>
        <w:t xml:space="preserve">, המסומן בסימון </w:t>
      </w:r>
      <w:r w:rsidRPr="00942E80">
        <w:rPr>
          <w:rStyle w:val="default"/>
          <w:rFonts w:cs="FrankRuehl" w:hint="cs"/>
          <w:sz w:val="20"/>
          <w:rtl/>
        </w:rPr>
        <w:t>"</w:t>
      </w:r>
      <w:r w:rsidRPr="00942E80">
        <w:rPr>
          <w:rStyle w:val="default"/>
          <w:rFonts w:cs="FrankRuehl"/>
          <w:sz w:val="20"/>
        </w:rPr>
        <w:t>RCM</w:t>
      </w:r>
      <w:r w:rsidRPr="00942E80">
        <w:rPr>
          <w:rStyle w:val="default"/>
          <w:rFonts w:cs="FrankRuehl" w:hint="cs"/>
          <w:sz w:val="20"/>
          <w:rtl/>
        </w:rPr>
        <w:t xml:space="preserve"> (</w:t>
      </w:r>
      <w:r w:rsidRPr="00942E80">
        <w:rPr>
          <w:rStyle w:val="default"/>
          <w:rFonts w:cs="FrankRuehl"/>
          <w:sz w:val="20"/>
        </w:rPr>
        <w:t>Regulatory Compliance Mark</w:t>
      </w:r>
      <w:r w:rsidRPr="00942E80">
        <w:rPr>
          <w:rStyle w:val="default"/>
          <w:rFonts w:cs="FrankRuehl" w:hint="cs"/>
          <w:sz w:val="20"/>
          <w:rtl/>
        </w:rPr>
        <w:t>)"</w:t>
      </w:r>
      <w:r w:rsidR="00603266">
        <w:rPr>
          <w:rStyle w:val="default"/>
          <w:rFonts w:cs="FrankRuehl" w:hint="cs"/>
          <w:sz w:val="20"/>
          <w:rtl/>
        </w:rPr>
        <w:t xml:space="preserve"> על ידי </w:t>
      </w:r>
      <w:r w:rsidR="00603266">
        <w:rPr>
          <w:rStyle w:val="default"/>
          <w:rFonts w:cs="FrankRuehl"/>
          <w:sz w:val="20"/>
        </w:rPr>
        <w:t>ACMA</w:t>
      </w:r>
      <w:r w:rsidR="00603266">
        <w:rPr>
          <w:rStyle w:val="a6"/>
          <w:rFonts w:cs="FrankRuehl"/>
          <w:rtl/>
        </w:rPr>
        <w:footnoteReference w:id="11"/>
      </w:r>
      <w:r w:rsidR="00603266">
        <w:rPr>
          <w:rStyle w:val="default"/>
          <w:rFonts w:cs="FrankRuehl" w:hint="cs"/>
          <w:sz w:val="20"/>
          <w:rtl/>
        </w:rPr>
        <w:t>;</w:t>
      </w:r>
    </w:p>
    <w:p w14:paraId="61CA5315" w14:textId="77777777" w:rsidR="00942E80" w:rsidRPr="00621FC6" w:rsidRDefault="00942E80" w:rsidP="00942E80">
      <w:pPr>
        <w:pStyle w:val="P00"/>
        <w:spacing w:before="0"/>
        <w:ind w:left="624" w:right="1134"/>
        <w:rPr>
          <w:rStyle w:val="default"/>
          <w:rFonts w:cs="FrankRuehl" w:hint="cs"/>
          <w:vanish/>
          <w:color w:val="FF0000"/>
          <w:sz w:val="20"/>
          <w:szCs w:val="20"/>
          <w:shd w:val="clear" w:color="auto" w:fill="FFFF99"/>
          <w:rtl/>
        </w:rPr>
      </w:pPr>
      <w:bookmarkStart w:id="8" w:name="Rov9"/>
      <w:r w:rsidRPr="00621FC6">
        <w:rPr>
          <w:rStyle w:val="default"/>
          <w:rFonts w:cs="FrankRuehl" w:hint="cs"/>
          <w:vanish/>
          <w:color w:val="FF0000"/>
          <w:sz w:val="20"/>
          <w:szCs w:val="20"/>
          <w:shd w:val="clear" w:color="auto" w:fill="FFFF99"/>
          <w:rtl/>
        </w:rPr>
        <w:t>מיום 3.4.2016</w:t>
      </w:r>
    </w:p>
    <w:p w14:paraId="29E22A5E" w14:textId="77777777" w:rsidR="00942E80" w:rsidRPr="00621FC6" w:rsidRDefault="00942E80" w:rsidP="00942E80">
      <w:pPr>
        <w:pStyle w:val="P00"/>
        <w:spacing w:before="0"/>
        <w:ind w:left="624" w:right="1134"/>
        <w:rPr>
          <w:rStyle w:val="default"/>
          <w:rFonts w:cs="FrankRuehl" w:hint="cs"/>
          <w:vanish/>
          <w:sz w:val="20"/>
          <w:szCs w:val="20"/>
          <w:shd w:val="clear" w:color="auto" w:fill="FFFF99"/>
          <w:rtl/>
        </w:rPr>
      </w:pPr>
      <w:r w:rsidRPr="00621FC6">
        <w:rPr>
          <w:rStyle w:val="default"/>
          <w:rFonts w:cs="FrankRuehl" w:hint="cs"/>
          <w:b/>
          <w:bCs/>
          <w:vanish/>
          <w:sz w:val="20"/>
          <w:szCs w:val="20"/>
          <w:shd w:val="clear" w:color="auto" w:fill="FFFF99"/>
          <w:rtl/>
        </w:rPr>
        <w:t>הודעה תשע"ו-2016</w:t>
      </w:r>
    </w:p>
    <w:p w14:paraId="6480148A" w14:textId="77777777" w:rsidR="00942E80" w:rsidRPr="00621FC6" w:rsidRDefault="00942E80" w:rsidP="00942E80">
      <w:pPr>
        <w:pStyle w:val="P00"/>
        <w:spacing w:before="0"/>
        <w:ind w:left="624" w:right="1134"/>
        <w:rPr>
          <w:rStyle w:val="default"/>
          <w:rFonts w:cs="FrankRuehl" w:hint="cs"/>
          <w:vanish/>
          <w:sz w:val="20"/>
          <w:szCs w:val="20"/>
          <w:shd w:val="clear" w:color="auto" w:fill="FFFF99"/>
          <w:rtl/>
        </w:rPr>
      </w:pPr>
      <w:hyperlink r:id="rId8" w:history="1">
        <w:r w:rsidRPr="00621FC6">
          <w:rPr>
            <w:rStyle w:val="Hyperlink"/>
            <w:rFonts w:cs="FrankRuehl" w:hint="cs"/>
            <w:vanish/>
            <w:szCs w:val="20"/>
            <w:shd w:val="clear" w:color="auto" w:fill="FFFF99"/>
            <w:rtl/>
          </w:rPr>
          <w:t>י"פ תשע"ו מס' 7186</w:t>
        </w:r>
      </w:hyperlink>
      <w:r w:rsidRPr="00621FC6">
        <w:rPr>
          <w:rStyle w:val="default"/>
          <w:rFonts w:cs="FrankRuehl" w:hint="cs"/>
          <w:vanish/>
          <w:sz w:val="20"/>
          <w:szCs w:val="20"/>
          <w:shd w:val="clear" w:color="auto" w:fill="FFFF99"/>
          <w:rtl/>
        </w:rPr>
        <w:t xml:space="preserve"> מיום 14.1.2016 עמ' 2688</w:t>
      </w:r>
    </w:p>
    <w:p w14:paraId="20A0DB69" w14:textId="77777777" w:rsidR="00942E80" w:rsidRPr="00621FC6" w:rsidRDefault="00942E80" w:rsidP="00621FC6">
      <w:pPr>
        <w:pStyle w:val="P00"/>
        <w:ind w:left="624" w:right="1134"/>
        <w:rPr>
          <w:rStyle w:val="default"/>
          <w:rFonts w:cs="FrankRuehl" w:hint="cs"/>
          <w:sz w:val="2"/>
          <w:szCs w:val="2"/>
          <w:rtl/>
        </w:rPr>
      </w:pPr>
      <w:r w:rsidRPr="00621FC6">
        <w:rPr>
          <w:rStyle w:val="default"/>
          <w:rFonts w:cs="FrankRuehl" w:hint="cs"/>
          <w:vanish/>
          <w:sz w:val="18"/>
          <w:szCs w:val="22"/>
          <w:shd w:val="clear" w:color="auto" w:fill="FFFF99"/>
          <w:rtl/>
        </w:rPr>
        <w:t>(4)</w:t>
      </w:r>
      <w:r w:rsidRPr="00621FC6">
        <w:rPr>
          <w:rStyle w:val="default"/>
          <w:rFonts w:cs="FrankRuehl" w:hint="cs"/>
          <w:vanish/>
          <w:sz w:val="18"/>
          <w:szCs w:val="22"/>
          <w:shd w:val="clear" w:color="auto" w:fill="FFFF99"/>
          <w:rtl/>
        </w:rPr>
        <w:tab/>
      </w:r>
      <w:r w:rsidRPr="00621FC6">
        <w:rPr>
          <w:rStyle w:val="default"/>
          <w:rFonts w:cs="FrankRuehl"/>
          <w:vanish/>
          <w:sz w:val="18"/>
          <w:szCs w:val="22"/>
          <w:shd w:val="clear" w:color="auto" w:fill="FFFF99"/>
        </w:rPr>
        <w:t>AS/CA S002:2011 Standards</w:t>
      </w:r>
      <w:r w:rsidRPr="00621FC6">
        <w:rPr>
          <w:rStyle w:val="default"/>
          <w:rFonts w:cs="FrankRuehl" w:hint="cs"/>
          <w:vanish/>
          <w:sz w:val="18"/>
          <w:szCs w:val="22"/>
          <w:shd w:val="clear" w:color="auto" w:fill="FFFF99"/>
          <w:rtl/>
        </w:rPr>
        <w:t xml:space="preserve">, המסומן בסימון </w:t>
      </w:r>
      <w:r w:rsidRPr="00621FC6">
        <w:rPr>
          <w:rStyle w:val="default"/>
          <w:rFonts w:cs="FrankRuehl" w:hint="cs"/>
          <w:strike/>
          <w:vanish/>
          <w:sz w:val="18"/>
          <w:szCs w:val="22"/>
          <w:shd w:val="clear" w:color="auto" w:fill="FFFF99"/>
          <w:rtl/>
        </w:rPr>
        <w:t>"</w:t>
      </w:r>
      <w:r w:rsidRPr="00621FC6">
        <w:rPr>
          <w:rStyle w:val="default"/>
          <w:rFonts w:cs="FrankRuehl"/>
          <w:strike/>
          <w:vanish/>
          <w:sz w:val="18"/>
          <w:szCs w:val="22"/>
          <w:shd w:val="clear" w:color="auto" w:fill="FFFF99"/>
        </w:rPr>
        <w:t>A-Tick</w:t>
      </w:r>
      <w:r w:rsidRPr="00621FC6">
        <w:rPr>
          <w:rStyle w:val="default"/>
          <w:rFonts w:cs="FrankRuehl" w:hint="cs"/>
          <w:strike/>
          <w:vanish/>
          <w:sz w:val="18"/>
          <w:szCs w:val="22"/>
          <w:shd w:val="clear" w:color="auto" w:fill="FFFF99"/>
          <w:rtl/>
        </w:rPr>
        <w:t>"</w:t>
      </w:r>
      <w:r w:rsidRPr="00621FC6">
        <w:rPr>
          <w:rStyle w:val="default"/>
          <w:rFonts w:cs="FrankRuehl" w:hint="cs"/>
          <w:vanish/>
          <w:sz w:val="18"/>
          <w:szCs w:val="22"/>
          <w:shd w:val="clear" w:color="auto" w:fill="FFFF99"/>
          <w:rtl/>
        </w:rPr>
        <w:t xml:space="preserve"> </w:t>
      </w:r>
      <w:r w:rsidRPr="00621FC6">
        <w:rPr>
          <w:rStyle w:val="default"/>
          <w:rFonts w:cs="FrankRuehl" w:hint="cs"/>
          <w:vanish/>
          <w:sz w:val="18"/>
          <w:szCs w:val="22"/>
          <w:u w:val="single"/>
          <w:shd w:val="clear" w:color="auto" w:fill="FFFF99"/>
          <w:rtl/>
        </w:rPr>
        <w:t>"</w:t>
      </w:r>
      <w:r w:rsidRPr="00621FC6">
        <w:rPr>
          <w:rStyle w:val="default"/>
          <w:rFonts w:cs="FrankRuehl"/>
          <w:vanish/>
          <w:sz w:val="18"/>
          <w:szCs w:val="22"/>
          <w:u w:val="single"/>
          <w:shd w:val="clear" w:color="auto" w:fill="FFFF99"/>
        </w:rPr>
        <w:t>RCM</w:t>
      </w:r>
      <w:r w:rsidRPr="00621FC6">
        <w:rPr>
          <w:rStyle w:val="default"/>
          <w:rFonts w:cs="FrankRuehl" w:hint="cs"/>
          <w:vanish/>
          <w:sz w:val="18"/>
          <w:szCs w:val="22"/>
          <w:u w:val="single"/>
          <w:shd w:val="clear" w:color="auto" w:fill="FFFF99"/>
          <w:rtl/>
        </w:rPr>
        <w:t xml:space="preserve"> (</w:t>
      </w:r>
      <w:r w:rsidRPr="00621FC6">
        <w:rPr>
          <w:rStyle w:val="default"/>
          <w:rFonts w:cs="FrankRuehl"/>
          <w:vanish/>
          <w:sz w:val="18"/>
          <w:szCs w:val="22"/>
          <w:u w:val="single"/>
          <w:shd w:val="clear" w:color="auto" w:fill="FFFF99"/>
        </w:rPr>
        <w:t>Regulatory Compliance Mark</w:t>
      </w:r>
      <w:r w:rsidRPr="00621FC6">
        <w:rPr>
          <w:rStyle w:val="default"/>
          <w:rFonts w:cs="FrankRuehl" w:hint="cs"/>
          <w:vanish/>
          <w:sz w:val="18"/>
          <w:szCs w:val="22"/>
          <w:u w:val="single"/>
          <w:shd w:val="clear" w:color="auto" w:fill="FFFF99"/>
          <w:rtl/>
        </w:rPr>
        <w:t>)"</w:t>
      </w:r>
      <w:r w:rsidRPr="00621FC6">
        <w:rPr>
          <w:rStyle w:val="default"/>
          <w:rFonts w:cs="FrankRuehl" w:hint="cs"/>
          <w:vanish/>
          <w:sz w:val="18"/>
          <w:szCs w:val="22"/>
          <w:shd w:val="clear" w:color="auto" w:fill="FFFF99"/>
          <w:rtl/>
        </w:rPr>
        <w:t xml:space="preserve"> על ידי </w:t>
      </w:r>
      <w:r w:rsidRPr="00621FC6">
        <w:rPr>
          <w:rStyle w:val="default"/>
          <w:rFonts w:cs="FrankRuehl"/>
          <w:vanish/>
          <w:sz w:val="18"/>
          <w:szCs w:val="22"/>
          <w:shd w:val="clear" w:color="auto" w:fill="FFFF99"/>
        </w:rPr>
        <w:t>ACMA</w:t>
      </w:r>
      <w:r w:rsidRPr="00621FC6">
        <w:rPr>
          <w:rStyle w:val="default"/>
          <w:rFonts w:cs="FrankRuehl" w:hint="cs"/>
          <w:vanish/>
          <w:sz w:val="18"/>
          <w:szCs w:val="22"/>
          <w:shd w:val="clear" w:color="auto" w:fill="FFFF99"/>
          <w:rtl/>
        </w:rPr>
        <w:t>;</w:t>
      </w:r>
      <w:bookmarkEnd w:id="8"/>
    </w:p>
    <w:p w14:paraId="560E067D" w14:textId="77777777" w:rsidR="00603266" w:rsidRDefault="00942E80" w:rsidP="00942E80">
      <w:pPr>
        <w:pStyle w:val="P00"/>
        <w:spacing w:before="72"/>
        <w:ind w:left="624" w:right="1134" w:hanging="624"/>
        <w:rPr>
          <w:rStyle w:val="default"/>
          <w:rFonts w:cs="FrankRuehl" w:hint="cs"/>
          <w:sz w:val="20"/>
          <w:rtl/>
        </w:rPr>
      </w:pPr>
      <w:r>
        <w:rPr>
          <w:rFonts w:cs="FrankRuehl" w:hint="cs"/>
          <w:rtl/>
          <w:lang w:eastAsia="en-US"/>
        </w:rPr>
        <w:pict w14:anchorId="6C425FDB">
          <v:shape id="_x0000_s1118" type="#_x0000_t202" style="position:absolute;left:0;text-align:left;margin-left:467.1pt;margin-top:7.1pt;width:75.25pt;height:12.7pt;z-index:251660800" filled="f" stroked="f">
            <v:textbox inset="1mm,0,1mm,0">
              <w:txbxContent>
                <w:p w14:paraId="40F9B127" w14:textId="77777777" w:rsidR="00942E80" w:rsidRDefault="00942E80" w:rsidP="00942E80">
                  <w:pPr>
                    <w:spacing w:line="160" w:lineRule="exact"/>
                    <w:rPr>
                      <w:rFonts w:cs="Miriam" w:hint="cs"/>
                      <w:noProof/>
                      <w:sz w:val="18"/>
                      <w:szCs w:val="18"/>
                      <w:rtl/>
                    </w:rPr>
                  </w:pPr>
                  <w:r>
                    <w:rPr>
                      <w:rFonts w:cs="Miriam" w:hint="cs"/>
                      <w:sz w:val="18"/>
                      <w:szCs w:val="18"/>
                      <w:rtl/>
                    </w:rPr>
                    <w:t>הודעה תשע"ו-2016</w:t>
                  </w:r>
                </w:p>
              </w:txbxContent>
            </v:textbox>
            <w10:anchorlock/>
          </v:shape>
        </w:pict>
      </w:r>
      <w:r w:rsidR="00603266">
        <w:rPr>
          <w:rStyle w:val="default"/>
          <w:rFonts w:cs="FrankRuehl" w:hint="cs"/>
          <w:sz w:val="20"/>
          <w:rtl/>
        </w:rPr>
        <w:t>3.</w:t>
      </w:r>
      <w:r w:rsidR="00603266">
        <w:rPr>
          <w:rStyle w:val="default"/>
          <w:rFonts w:cs="FrankRuehl" w:hint="cs"/>
          <w:sz w:val="20"/>
          <w:rtl/>
        </w:rPr>
        <w:tab/>
      </w:r>
      <w:r w:rsidR="00582089">
        <w:rPr>
          <w:rStyle w:val="default"/>
          <w:rFonts w:cs="FrankRuehl" w:hint="cs"/>
          <w:sz w:val="20"/>
          <w:rtl/>
        </w:rPr>
        <w:t xml:space="preserve">ציוד קצה ספרתי בטכנולוגיית </w:t>
      </w:r>
      <w:r w:rsidR="00582089">
        <w:rPr>
          <w:rStyle w:val="default"/>
          <w:rFonts w:cs="FrankRuehl"/>
          <w:sz w:val="20"/>
        </w:rPr>
        <w:t>DSL</w:t>
      </w:r>
      <w:r w:rsidR="00582089">
        <w:rPr>
          <w:rStyle w:val="default"/>
          <w:rFonts w:cs="FrankRuehl" w:hint="cs"/>
          <w:sz w:val="20"/>
          <w:rtl/>
        </w:rPr>
        <w:t xml:space="preserve"> הפועל במישק ספרתי לפי תקן אחד או יותר מהתקנים של </w:t>
      </w:r>
      <w:r w:rsidR="00582089">
        <w:rPr>
          <w:rStyle w:val="default"/>
          <w:rFonts w:cs="FrankRuehl"/>
          <w:sz w:val="20"/>
        </w:rPr>
        <w:t>ITU-T</w:t>
      </w:r>
      <w:r w:rsidR="00582089">
        <w:rPr>
          <w:rStyle w:val="a6"/>
          <w:rFonts w:cs="FrankRuehl"/>
          <w:rtl/>
        </w:rPr>
        <w:footnoteReference w:id="12"/>
      </w:r>
      <w:r w:rsidR="00582089">
        <w:rPr>
          <w:rStyle w:val="default"/>
          <w:rFonts w:cs="FrankRuehl" w:hint="cs"/>
          <w:sz w:val="20"/>
          <w:rtl/>
        </w:rPr>
        <w:t xml:space="preserve">, או </w:t>
      </w:r>
      <w:r w:rsidR="00582089">
        <w:rPr>
          <w:rStyle w:val="default"/>
          <w:rFonts w:cs="FrankRuehl"/>
          <w:sz w:val="20"/>
        </w:rPr>
        <w:t>ANSI</w:t>
      </w:r>
      <w:r w:rsidR="00582089">
        <w:rPr>
          <w:rStyle w:val="default"/>
          <w:rFonts w:cs="FrankRuehl" w:hint="cs"/>
          <w:sz w:val="20"/>
          <w:rtl/>
        </w:rPr>
        <w:t xml:space="preserve">, כמפורט להלן, ונושא סימן </w:t>
      </w:r>
      <w:r w:rsidR="00582089">
        <w:rPr>
          <w:rStyle w:val="default"/>
          <w:rFonts w:cs="FrankRuehl"/>
          <w:sz w:val="20"/>
        </w:rPr>
        <w:t>CE</w:t>
      </w:r>
      <w:r w:rsidR="00582089">
        <w:rPr>
          <w:rStyle w:val="default"/>
          <w:rFonts w:cs="FrankRuehl" w:hint="cs"/>
          <w:sz w:val="20"/>
          <w:rtl/>
        </w:rPr>
        <w:t xml:space="preserve">, </w:t>
      </w:r>
      <w:r w:rsidR="00582089">
        <w:rPr>
          <w:rStyle w:val="default"/>
          <w:rFonts w:cs="FrankRuehl"/>
          <w:sz w:val="20"/>
        </w:rPr>
        <w:t>FCC</w:t>
      </w:r>
      <w:r w:rsidR="00582089">
        <w:rPr>
          <w:rStyle w:val="default"/>
          <w:rFonts w:cs="FrankRuehl" w:hint="cs"/>
          <w:sz w:val="20"/>
          <w:rtl/>
        </w:rPr>
        <w:t xml:space="preserve">, </w:t>
      </w:r>
      <w:r w:rsidR="00582089">
        <w:rPr>
          <w:rStyle w:val="default"/>
          <w:rFonts w:cs="FrankRuehl"/>
          <w:sz w:val="20"/>
        </w:rPr>
        <w:t>IC</w:t>
      </w:r>
      <w:r w:rsidR="00582089">
        <w:rPr>
          <w:rStyle w:val="default"/>
          <w:rFonts w:cs="FrankRuehl" w:hint="cs"/>
          <w:sz w:val="20"/>
          <w:rtl/>
        </w:rPr>
        <w:t xml:space="preserve">, או </w:t>
      </w:r>
      <w:r w:rsidRPr="00942E80">
        <w:rPr>
          <w:rStyle w:val="default"/>
          <w:rFonts w:cs="FrankRuehl"/>
          <w:sz w:val="20"/>
        </w:rPr>
        <w:t>RCM</w:t>
      </w:r>
      <w:r w:rsidRPr="00942E80">
        <w:rPr>
          <w:rStyle w:val="default"/>
          <w:rFonts w:cs="FrankRuehl" w:hint="cs"/>
          <w:sz w:val="20"/>
          <w:rtl/>
        </w:rPr>
        <w:t xml:space="preserve"> (</w:t>
      </w:r>
      <w:r w:rsidRPr="00942E80">
        <w:rPr>
          <w:rStyle w:val="default"/>
          <w:rFonts w:cs="FrankRuehl"/>
          <w:sz w:val="20"/>
        </w:rPr>
        <w:t>Regulatory Compliance Mark</w:t>
      </w:r>
      <w:r w:rsidRPr="00942E80">
        <w:rPr>
          <w:rStyle w:val="default"/>
          <w:rFonts w:cs="FrankRuehl" w:hint="cs"/>
          <w:sz w:val="20"/>
          <w:rtl/>
        </w:rPr>
        <w:t>)</w:t>
      </w:r>
      <w:r w:rsidR="00582089">
        <w:rPr>
          <w:rStyle w:val="default"/>
          <w:rFonts w:cs="FrankRuehl" w:hint="cs"/>
          <w:sz w:val="20"/>
          <w:rtl/>
        </w:rPr>
        <w:t>:</w:t>
      </w:r>
    </w:p>
    <w:p w14:paraId="731BBDDA" w14:textId="77777777" w:rsidR="00582089" w:rsidRDefault="00582089" w:rsidP="00582089">
      <w:pPr>
        <w:pStyle w:val="P00"/>
        <w:spacing w:before="72"/>
        <w:ind w:left="624" w:right="1134"/>
        <w:rPr>
          <w:rStyle w:val="default"/>
          <w:rFonts w:cs="FrankRuehl" w:hint="cs"/>
          <w:sz w:val="20"/>
          <w:rtl/>
        </w:rPr>
      </w:pPr>
      <w:r>
        <w:rPr>
          <w:rStyle w:val="default"/>
          <w:rFonts w:cs="FrankRuehl" w:hint="cs"/>
          <w:sz w:val="20"/>
          <w:rtl/>
        </w:rPr>
        <w:t>(1)</w:t>
      </w:r>
      <w:r>
        <w:rPr>
          <w:rStyle w:val="default"/>
          <w:rFonts w:cs="FrankRuehl" w:hint="cs"/>
          <w:sz w:val="20"/>
          <w:rtl/>
        </w:rPr>
        <w:tab/>
      </w:r>
      <w:r>
        <w:rPr>
          <w:rStyle w:val="default"/>
          <w:rFonts w:cs="FrankRuehl"/>
          <w:sz w:val="20"/>
        </w:rPr>
        <w:t>ANSI T1.413 issue 2</w:t>
      </w:r>
    </w:p>
    <w:p w14:paraId="0A4F493D" w14:textId="77777777" w:rsidR="00582089" w:rsidRDefault="00582089" w:rsidP="00582089">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r>
      <w:r>
        <w:rPr>
          <w:rStyle w:val="default"/>
          <w:rFonts w:cs="FrankRuehl"/>
          <w:sz w:val="20"/>
        </w:rPr>
        <w:t>G.992.1</w:t>
      </w:r>
    </w:p>
    <w:p w14:paraId="1EB95226" w14:textId="77777777" w:rsidR="00582089" w:rsidRDefault="00582089" w:rsidP="00582089">
      <w:pPr>
        <w:pStyle w:val="P00"/>
        <w:spacing w:before="72"/>
        <w:ind w:left="624" w:right="1134"/>
        <w:rPr>
          <w:rStyle w:val="default"/>
          <w:rFonts w:cs="FrankRuehl" w:hint="cs"/>
          <w:sz w:val="20"/>
          <w:rtl/>
        </w:rPr>
      </w:pPr>
      <w:r>
        <w:rPr>
          <w:rStyle w:val="default"/>
          <w:rFonts w:cs="FrankRuehl" w:hint="cs"/>
          <w:sz w:val="20"/>
          <w:rtl/>
        </w:rPr>
        <w:t>(3)</w:t>
      </w:r>
      <w:r>
        <w:rPr>
          <w:rStyle w:val="default"/>
          <w:rFonts w:cs="FrankRuehl" w:hint="cs"/>
          <w:sz w:val="20"/>
          <w:rtl/>
        </w:rPr>
        <w:tab/>
      </w:r>
      <w:r>
        <w:rPr>
          <w:rStyle w:val="default"/>
          <w:rFonts w:cs="FrankRuehl"/>
          <w:sz w:val="20"/>
        </w:rPr>
        <w:t>G.992.2</w:t>
      </w:r>
    </w:p>
    <w:p w14:paraId="46913CFE" w14:textId="77777777" w:rsidR="00582089" w:rsidRDefault="00582089" w:rsidP="00582089">
      <w:pPr>
        <w:pStyle w:val="P00"/>
        <w:spacing w:before="72"/>
        <w:ind w:left="624" w:right="1134"/>
        <w:rPr>
          <w:rStyle w:val="default"/>
          <w:rFonts w:cs="FrankRuehl" w:hint="cs"/>
          <w:sz w:val="20"/>
          <w:rtl/>
        </w:rPr>
      </w:pPr>
      <w:r>
        <w:rPr>
          <w:rStyle w:val="default"/>
          <w:rFonts w:cs="FrankRuehl" w:hint="cs"/>
          <w:sz w:val="20"/>
          <w:rtl/>
        </w:rPr>
        <w:t>(4)</w:t>
      </w:r>
      <w:r>
        <w:rPr>
          <w:rStyle w:val="default"/>
          <w:rFonts w:cs="FrankRuehl" w:hint="cs"/>
          <w:sz w:val="20"/>
          <w:rtl/>
        </w:rPr>
        <w:tab/>
      </w:r>
      <w:r>
        <w:rPr>
          <w:rStyle w:val="default"/>
          <w:rFonts w:cs="FrankRuehl"/>
          <w:sz w:val="20"/>
        </w:rPr>
        <w:t>G.992.3</w:t>
      </w:r>
    </w:p>
    <w:p w14:paraId="4CDDB729" w14:textId="77777777" w:rsidR="00582089" w:rsidRDefault="00582089" w:rsidP="00582089">
      <w:pPr>
        <w:pStyle w:val="P00"/>
        <w:spacing w:before="72"/>
        <w:ind w:left="624" w:right="1134"/>
        <w:rPr>
          <w:rStyle w:val="default"/>
          <w:rFonts w:cs="FrankRuehl" w:hint="cs"/>
          <w:sz w:val="20"/>
          <w:rtl/>
        </w:rPr>
      </w:pPr>
      <w:r>
        <w:rPr>
          <w:rStyle w:val="default"/>
          <w:rFonts w:cs="FrankRuehl" w:hint="cs"/>
          <w:sz w:val="20"/>
          <w:rtl/>
        </w:rPr>
        <w:t>(5)</w:t>
      </w:r>
      <w:r>
        <w:rPr>
          <w:rStyle w:val="default"/>
          <w:rFonts w:cs="FrankRuehl" w:hint="cs"/>
          <w:sz w:val="20"/>
          <w:rtl/>
        </w:rPr>
        <w:tab/>
      </w:r>
      <w:r>
        <w:rPr>
          <w:rStyle w:val="default"/>
          <w:rFonts w:cs="FrankRuehl"/>
          <w:sz w:val="20"/>
        </w:rPr>
        <w:t>G.992.4</w:t>
      </w:r>
    </w:p>
    <w:p w14:paraId="70C88665" w14:textId="77777777" w:rsidR="00582089" w:rsidRDefault="00582089" w:rsidP="00582089">
      <w:pPr>
        <w:pStyle w:val="P00"/>
        <w:spacing w:before="72"/>
        <w:ind w:left="624" w:right="1134"/>
        <w:rPr>
          <w:rStyle w:val="default"/>
          <w:rFonts w:cs="FrankRuehl" w:hint="cs"/>
          <w:sz w:val="20"/>
          <w:rtl/>
        </w:rPr>
      </w:pPr>
      <w:r>
        <w:rPr>
          <w:rStyle w:val="default"/>
          <w:rFonts w:cs="FrankRuehl" w:hint="cs"/>
          <w:sz w:val="20"/>
          <w:rtl/>
        </w:rPr>
        <w:t>(6)</w:t>
      </w:r>
      <w:r>
        <w:rPr>
          <w:rStyle w:val="default"/>
          <w:rFonts w:cs="FrankRuehl" w:hint="cs"/>
          <w:sz w:val="20"/>
          <w:rtl/>
        </w:rPr>
        <w:tab/>
      </w:r>
      <w:r>
        <w:rPr>
          <w:rStyle w:val="default"/>
          <w:rFonts w:cs="FrankRuehl"/>
          <w:sz w:val="20"/>
        </w:rPr>
        <w:t>G.992.5</w:t>
      </w:r>
    </w:p>
    <w:p w14:paraId="57D8BD1D" w14:textId="77777777" w:rsidR="00582089" w:rsidRDefault="00582089" w:rsidP="00582089">
      <w:pPr>
        <w:pStyle w:val="P00"/>
        <w:spacing w:before="72"/>
        <w:ind w:left="624" w:right="1134"/>
        <w:rPr>
          <w:rStyle w:val="default"/>
          <w:rFonts w:cs="FrankRuehl" w:hint="cs"/>
          <w:sz w:val="20"/>
          <w:rtl/>
        </w:rPr>
      </w:pPr>
      <w:r>
        <w:rPr>
          <w:rStyle w:val="default"/>
          <w:rFonts w:cs="FrankRuehl" w:hint="cs"/>
          <w:sz w:val="20"/>
          <w:rtl/>
        </w:rPr>
        <w:t>(7)</w:t>
      </w:r>
      <w:r>
        <w:rPr>
          <w:rStyle w:val="default"/>
          <w:rFonts w:cs="FrankRuehl" w:hint="cs"/>
          <w:sz w:val="20"/>
          <w:rtl/>
        </w:rPr>
        <w:tab/>
      </w:r>
      <w:r>
        <w:rPr>
          <w:rStyle w:val="default"/>
          <w:rFonts w:cs="FrankRuehl"/>
          <w:sz w:val="20"/>
        </w:rPr>
        <w:t>G.993.1</w:t>
      </w:r>
    </w:p>
    <w:p w14:paraId="30DBD515" w14:textId="77777777" w:rsidR="00582089" w:rsidRDefault="00582089" w:rsidP="00582089">
      <w:pPr>
        <w:pStyle w:val="P00"/>
        <w:spacing w:before="72"/>
        <w:ind w:left="624" w:right="1134"/>
        <w:rPr>
          <w:rStyle w:val="default"/>
          <w:rFonts w:cs="FrankRuehl" w:hint="cs"/>
          <w:sz w:val="20"/>
          <w:rtl/>
        </w:rPr>
      </w:pPr>
      <w:r>
        <w:rPr>
          <w:rStyle w:val="default"/>
          <w:rFonts w:cs="FrankRuehl" w:hint="cs"/>
          <w:sz w:val="20"/>
          <w:rtl/>
        </w:rPr>
        <w:t>(8)</w:t>
      </w:r>
      <w:r>
        <w:rPr>
          <w:rStyle w:val="default"/>
          <w:rFonts w:cs="FrankRuehl" w:hint="cs"/>
          <w:sz w:val="20"/>
          <w:rtl/>
        </w:rPr>
        <w:tab/>
      </w:r>
      <w:r>
        <w:rPr>
          <w:rStyle w:val="default"/>
          <w:rFonts w:cs="FrankRuehl"/>
          <w:sz w:val="20"/>
        </w:rPr>
        <w:t>G.993.2</w:t>
      </w:r>
      <w:r>
        <w:rPr>
          <w:rStyle w:val="default"/>
          <w:rFonts w:cs="FrankRuehl" w:hint="cs"/>
          <w:sz w:val="20"/>
          <w:rtl/>
        </w:rPr>
        <w:t>.</w:t>
      </w:r>
    </w:p>
    <w:p w14:paraId="7C8A4E68" w14:textId="77777777" w:rsidR="00942E80" w:rsidRPr="00621FC6" w:rsidRDefault="00942E80" w:rsidP="00942E80">
      <w:pPr>
        <w:pStyle w:val="P00"/>
        <w:spacing w:before="0"/>
        <w:ind w:left="0" w:right="1134"/>
        <w:rPr>
          <w:rStyle w:val="default"/>
          <w:rFonts w:cs="FrankRuehl" w:hint="cs"/>
          <w:vanish/>
          <w:color w:val="FF0000"/>
          <w:sz w:val="20"/>
          <w:szCs w:val="20"/>
          <w:shd w:val="clear" w:color="auto" w:fill="FFFF99"/>
          <w:rtl/>
        </w:rPr>
      </w:pPr>
      <w:bookmarkStart w:id="9" w:name="Rov10"/>
      <w:r w:rsidRPr="00621FC6">
        <w:rPr>
          <w:rStyle w:val="default"/>
          <w:rFonts w:cs="FrankRuehl" w:hint="cs"/>
          <w:vanish/>
          <w:color w:val="FF0000"/>
          <w:sz w:val="20"/>
          <w:szCs w:val="20"/>
          <w:shd w:val="clear" w:color="auto" w:fill="FFFF99"/>
          <w:rtl/>
        </w:rPr>
        <w:t>מיום 3.4.2016</w:t>
      </w:r>
    </w:p>
    <w:p w14:paraId="60EEEC6E" w14:textId="77777777" w:rsidR="00942E80" w:rsidRPr="00621FC6" w:rsidRDefault="00942E80" w:rsidP="00942E80">
      <w:pPr>
        <w:pStyle w:val="P00"/>
        <w:spacing w:before="0"/>
        <w:ind w:left="0" w:right="1134"/>
        <w:rPr>
          <w:rStyle w:val="default"/>
          <w:rFonts w:cs="FrankRuehl" w:hint="cs"/>
          <w:vanish/>
          <w:sz w:val="20"/>
          <w:szCs w:val="20"/>
          <w:shd w:val="clear" w:color="auto" w:fill="FFFF99"/>
          <w:rtl/>
        </w:rPr>
      </w:pPr>
      <w:r w:rsidRPr="00621FC6">
        <w:rPr>
          <w:rStyle w:val="default"/>
          <w:rFonts w:cs="FrankRuehl" w:hint="cs"/>
          <w:b/>
          <w:bCs/>
          <w:vanish/>
          <w:sz w:val="20"/>
          <w:szCs w:val="20"/>
          <w:shd w:val="clear" w:color="auto" w:fill="FFFF99"/>
          <w:rtl/>
        </w:rPr>
        <w:t>הודעה תשע"ו-2016</w:t>
      </w:r>
    </w:p>
    <w:p w14:paraId="48F13384" w14:textId="77777777" w:rsidR="00942E80" w:rsidRPr="00621FC6" w:rsidRDefault="00942E80" w:rsidP="00942E80">
      <w:pPr>
        <w:pStyle w:val="P00"/>
        <w:spacing w:before="0"/>
        <w:ind w:left="0" w:right="1134"/>
        <w:rPr>
          <w:rStyle w:val="default"/>
          <w:rFonts w:cs="FrankRuehl" w:hint="cs"/>
          <w:vanish/>
          <w:sz w:val="20"/>
          <w:szCs w:val="20"/>
          <w:shd w:val="clear" w:color="auto" w:fill="FFFF99"/>
          <w:rtl/>
        </w:rPr>
      </w:pPr>
      <w:hyperlink r:id="rId9" w:history="1">
        <w:r w:rsidRPr="00621FC6">
          <w:rPr>
            <w:rStyle w:val="Hyperlink"/>
            <w:rFonts w:cs="FrankRuehl" w:hint="cs"/>
            <w:vanish/>
            <w:szCs w:val="20"/>
            <w:shd w:val="clear" w:color="auto" w:fill="FFFF99"/>
            <w:rtl/>
          </w:rPr>
          <w:t>י"פ תשע"ו מס' 7186</w:t>
        </w:r>
      </w:hyperlink>
      <w:r w:rsidRPr="00621FC6">
        <w:rPr>
          <w:rStyle w:val="default"/>
          <w:rFonts w:cs="FrankRuehl" w:hint="cs"/>
          <w:vanish/>
          <w:sz w:val="20"/>
          <w:szCs w:val="20"/>
          <w:shd w:val="clear" w:color="auto" w:fill="FFFF99"/>
          <w:rtl/>
        </w:rPr>
        <w:t xml:space="preserve"> מיום 14.1.2016 עמ' 2688</w:t>
      </w:r>
    </w:p>
    <w:p w14:paraId="68523CF2" w14:textId="77777777" w:rsidR="00942E80" w:rsidRPr="00621FC6" w:rsidRDefault="00942E80" w:rsidP="00621FC6">
      <w:pPr>
        <w:pStyle w:val="P00"/>
        <w:ind w:left="624" w:right="1134" w:hanging="624"/>
        <w:rPr>
          <w:rStyle w:val="default"/>
          <w:rFonts w:cs="FrankRuehl" w:hint="cs"/>
          <w:sz w:val="2"/>
          <w:szCs w:val="2"/>
          <w:rtl/>
        </w:rPr>
      </w:pPr>
      <w:r w:rsidRPr="00621FC6">
        <w:rPr>
          <w:rStyle w:val="default"/>
          <w:rFonts w:cs="FrankRuehl" w:hint="cs"/>
          <w:vanish/>
          <w:sz w:val="18"/>
          <w:szCs w:val="22"/>
          <w:shd w:val="clear" w:color="auto" w:fill="FFFF99"/>
          <w:rtl/>
        </w:rPr>
        <w:t>3.</w:t>
      </w:r>
      <w:r w:rsidRPr="00621FC6">
        <w:rPr>
          <w:rStyle w:val="default"/>
          <w:rFonts w:cs="FrankRuehl" w:hint="cs"/>
          <w:vanish/>
          <w:sz w:val="18"/>
          <w:szCs w:val="22"/>
          <w:shd w:val="clear" w:color="auto" w:fill="FFFF99"/>
          <w:rtl/>
        </w:rPr>
        <w:tab/>
        <w:t xml:space="preserve">ציוד קצה ספרתי בטכנולוגיית </w:t>
      </w:r>
      <w:r w:rsidRPr="00621FC6">
        <w:rPr>
          <w:rStyle w:val="default"/>
          <w:rFonts w:cs="FrankRuehl"/>
          <w:vanish/>
          <w:sz w:val="18"/>
          <w:szCs w:val="22"/>
          <w:shd w:val="clear" w:color="auto" w:fill="FFFF99"/>
        </w:rPr>
        <w:t>DSL</w:t>
      </w:r>
      <w:r w:rsidRPr="00621FC6">
        <w:rPr>
          <w:rStyle w:val="default"/>
          <w:rFonts w:cs="FrankRuehl" w:hint="cs"/>
          <w:vanish/>
          <w:sz w:val="18"/>
          <w:szCs w:val="22"/>
          <w:shd w:val="clear" w:color="auto" w:fill="FFFF99"/>
          <w:rtl/>
        </w:rPr>
        <w:t xml:space="preserve"> הפועל במישק ספרתי לפי תקן אחד או יותר מהתקנים של </w:t>
      </w:r>
      <w:r w:rsidRPr="00621FC6">
        <w:rPr>
          <w:rStyle w:val="default"/>
          <w:rFonts w:cs="FrankRuehl"/>
          <w:vanish/>
          <w:sz w:val="18"/>
          <w:szCs w:val="22"/>
          <w:shd w:val="clear" w:color="auto" w:fill="FFFF99"/>
        </w:rPr>
        <w:t>ITU-T</w:t>
      </w:r>
      <w:r w:rsidRPr="00621FC6">
        <w:rPr>
          <w:rStyle w:val="default"/>
          <w:rFonts w:cs="FrankRuehl" w:hint="cs"/>
          <w:vanish/>
          <w:sz w:val="18"/>
          <w:szCs w:val="22"/>
          <w:shd w:val="clear" w:color="auto" w:fill="FFFF99"/>
          <w:rtl/>
        </w:rPr>
        <w:t xml:space="preserve">, או </w:t>
      </w:r>
      <w:r w:rsidRPr="00621FC6">
        <w:rPr>
          <w:rStyle w:val="default"/>
          <w:rFonts w:cs="FrankRuehl"/>
          <w:vanish/>
          <w:sz w:val="18"/>
          <w:szCs w:val="22"/>
          <w:shd w:val="clear" w:color="auto" w:fill="FFFF99"/>
        </w:rPr>
        <w:t>ANSI</w:t>
      </w:r>
      <w:r w:rsidRPr="00621FC6">
        <w:rPr>
          <w:rStyle w:val="default"/>
          <w:rFonts w:cs="FrankRuehl" w:hint="cs"/>
          <w:vanish/>
          <w:sz w:val="18"/>
          <w:szCs w:val="22"/>
          <w:shd w:val="clear" w:color="auto" w:fill="FFFF99"/>
          <w:rtl/>
        </w:rPr>
        <w:t xml:space="preserve">, כמפורט להלן, ונושא סימן </w:t>
      </w:r>
      <w:r w:rsidRPr="00621FC6">
        <w:rPr>
          <w:rStyle w:val="default"/>
          <w:rFonts w:cs="FrankRuehl"/>
          <w:vanish/>
          <w:sz w:val="18"/>
          <w:szCs w:val="22"/>
          <w:shd w:val="clear" w:color="auto" w:fill="FFFF99"/>
        </w:rPr>
        <w:t>CE</w:t>
      </w:r>
      <w:r w:rsidRPr="00621FC6">
        <w:rPr>
          <w:rStyle w:val="default"/>
          <w:rFonts w:cs="FrankRuehl" w:hint="cs"/>
          <w:vanish/>
          <w:sz w:val="18"/>
          <w:szCs w:val="22"/>
          <w:shd w:val="clear" w:color="auto" w:fill="FFFF99"/>
          <w:rtl/>
        </w:rPr>
        <w:t xml:space="preserve">, </w:t>
      </w:r>
      <w:r w:rsidRPr="00621FC6">
        <w:rPr>
          <w:rStyle w:val="default"/>
          <w:rFonts w:cs="FrankRuehl"/>
          <w:vanish/>
          <w:sz w:val="18"/>
          <w:szCs w:val="22"/>
          <w:shd w:val="clear" w:color="auto" w:fill="FFFF99"/>
        </w:rPr>
        <w:t>FCC</w:t>
      </w:r>
      <w:r w:rsidRPr="00621FC6">
        <w:rPr>
          <w:rStyle w:val="default"/>
          <w:rFonts w:cs="FrankRuehl" w:hint="cs"/>
          <w:vanish/>
          <w:sz w:val="18"/>
          <w:szCs w:val="22"/>
          <w:shd w:val="clear" w:color="auto" w:fill="FFFF99"/>
          <w:rtl/>
        </w:rPr>
        <w:t xml:space="preserve">, </w:t>
      </w:r>
      <w:r w:rsidRPr="00621FC6">
        <w:rPr>
          <w:rStyle w:val="default"/>
          <w:rFonts w:cs="FrankRuehl"/>
          <w:vanish/>
          <w:sz w:val="18"/>
          <w:szCs w:val="22"/>
          <w:shd w:val="clear" w:color="auto" w:fill="FFFF99"/>
        </w:rPr>
        <w:t>IC</w:t>
      </w:r>
      <w:r w:rsidRPr="00621FC6">
        <w:rPr>
          <w:rStyle w:val="default"/>
          <w:rFonts w:cs="FrankRuehl" w:hint="cs"/>
          <w:vanish/>
          <w:sz w:val="18"/>
          <w:szCs w:val="22"/>
          <w:shd w:val="clear" w:color="auto" w:fill="FFFF99"/>
          <w:rtl/>
        </w:rPr>
        <w:t xml:space="preserve">, או </w:t>
      </w:r>
      <w:r w:rsidRPr="00621FC6">
        <w:rPr>
          <w:rStyle w:val="default"/>
          <w:rFonts w:cs="FrankRuehl"/>
          <w:strike/>
          <w:vanish/>
          <w:sz w:val="18"/>
          <w:szCs w:val="22"/>
          <w:shd w:val="clear" w:color="auto" w:fill="FFFF99"/>
        </w:rPr>
        <w:t>A-Tick</w:t>
      </w:r>
      <w:r w:rsidRPr="00621FC6">
        <w:rPr>
          <w:rStyle w:val="default"/>
          <w:rFonts w:cs="FrankRuehl" w:hint="cs"/>
          <w:vanish/>
          <w:sz w:val="18"/>
          <w:szCs w:val="22"/>
          <w:shd w:val="clear" w:color="auto" w:fill="FFFF99"/>
          <w:rtl/>
        </w:rPr>
        <w:t xml:space="preserve"> </w:t>
      </w:r>
      <w:r w:rsidRPr="00621FC6">
        <w:rPr>
          <w:rStyle w:val="default"/>
          <w:rFonts w:cs="FrankRuehl"/>
          <w:vanish/>
          <w:sz w:val="18"/>
          <w:szCs w:val="22"/>
          <w:u w:val="single"/>
          <w:shd w:val="clear" w:color="auto" w:fill="FFFF99"/>
        </w:rPr>
        <w:t>RCM</w:t>
      </w:r>
      <w:r w:rsidRPr="00621FC6">
        <w:rPr>
          <w:rStyle w:val="default"/>
          <w:rFonts w:cs="FrankRuehl" w:hint="cs"/>
          <w:vanish/>
          <w:sz w:val="18"/>
          <w:szCs w:val="22"/>
          <w:u w:val="single"/>
          <w:shd w:val="clear" w:color="auto" w:fill="FFFF99"/>
          <w:rtl/>
        </w:rPr>
        <w:t xml:space="preserve"> (</w:t>
      </w:r>
      <w:r w:rsidRPr="00621FC6">
        <w:rPr>
          <w:rStyle w:val="default"/>
          <w:rFonts w:cs="FrankRuehl"/>
          <w:vanish/>
          <w:sz w:val="18"/>
          <w:szCs w:val="22"/>
          <w:u w:val="single"/>
          <w:shd w:val="clear" w:color="auto" w:fill="FFFF99"/>
        </w:rPr>
        <w:t>Regulatory Compliance Mark</w:t>
      </w:r>
      <w:r w:rsidRPr="00621FC6">
        <w:rPr>
          <w:rStyle w:val="default"/>
          <w:rFonts w:cs="FrankRuehl" w:hint="cs"/>
          <w:vanish/>
          <w:sz w:val="18"/>
          <w:szCs w:val="22"/>
          <w:u w:val="single"/>
          <w:shd w:val="clear" w:color="auto" w:fill="FFFF99"/>
          <w:rtl/>
        </w:rPr>
        <w:t>)</w:t>
      </w:r>
      <w:r w:rsidRPr="00621FC6">
        <w:rPr>
          <w:rStyle w:val="default"/>
          <w:rFonts w:cs="FrankRuehl" w:hint="cs"/>
          <w:vanish/>
          <w:sz w:val="18"/>
          <w:szCs w:val="22"/>
          <w:shd w:val="clear" w:color="auto" w:fill="FFFF99"/>
          <w:rtl/>
        </w:rPr>
        <w:t>:</w:t>
      </w:r>
      <w:bookmarkEnd w:id="9"/>
    </w:p>
    <w:p w14:paraId="35F902A1" w14:textId="77777777" w:rsidR="00582089" w:rsidRDefault="00582089" w:rsidP="00431CAA">
      <w:pPr>
        <w:pStyle w:val="P00"/>
        <w:spacing w:before="72"/>
        <w:ind w:left="0" w:right="1134"/>
        <w:rPr>
          <w:rStyle w:val="default"/>
          <w:rFonts w:cs="FrankRuehl" w:hint="cs"/>
          <w:sz w:val="20"/>
          <w:rtl/>
        </w:rPr>
      </w:pPr>
      <w:r>
        <w:rPr>
          <w:rStyle w:val="default"/>
          <w:rFonts w:cs="FrankRuehl" w:hint="cs"/>
          <w:sz w:val="20"/>
          <w:rtl/>
        </w:rPr>
        <w:t>4.</w:t>
      </w:r>
      <w:r>
        <w:rPr>
          <w:rStyle w:val="default"/>
          <w:rFonts w:cs="FrankRuehl" w:hint="cs"/>
          <w:sz w:val="20"/>
          <w:rtl/>
        </w:rPr>
        <w:tab/>
        <w:t xml:space="preserve">ציוד קצה ספרתי בטכנולוגיית </w:t>
      </w:r>
      <w:r>
        <w:rPr>
          <w:rStyle w:val="default"/>
          <w:rFonts w:cs="FrankRuehl"/>
          <w:sz w:val="20"/>
        </w:rPr>
        <w:t>DOCSIS</w:t>
      </w:r>
      <w:r>
        <w:rPr>
          <w:rStyle w:val="default"/>
          <w:rFonts w:cs="FrankRuehl" w:hint="cs"/>
          <w:sz w:val="20"/>
          <w:rtl/>
        </w:rPr>
        <w:t xml:space="preserve"> הפועל לפי תקן: </w:t>
      </w:r>
      <w:r>
        <w:rPr>
          <w:rStyle w:val="default"/>
          <w:rFonts w:cs="FrankRuehl"/>
          <w:sz w:val="20"/>
        </w:rPr>
        <w:t>CableLabs DOCSIS 3.0</w:t>
      </w:r>
      <w:r>
        <w:rPr>
          <w:rStyle w:val="a6"/>
          <w:rFonts w:cs="FrankRuehl"/>
          <w:rtl/>
        </w:rPr>
        <w:footnoteReference w:id="13"/>
      </w:r>
      <w:r>
        <w:rPr>
          <w:rStyle w:val="default"/>
          <w:rFonts w:cs="FrankRuehl" w:hint="cs"/>
          <w:sz w:val="20"/>
          <w:rtl/>
        </w:rPr>
        <w:t>.</w:t>
      </w:r>
    </w:p>
    <w:p w14:paraId="2CE6B7DA" w14:textId="77777777" w:rsidR="00582089" w:rsidRDefault="00621FC6" w:rsidP="00621FC6">
      <w:pPr>
        <w:pStyle w:val="P00"/>
        <w:spacing w:before="72"/>
        <w:ind w:left="624" w:right="1134" w:hanging="624"/>
        <w:rPr>
          <w:rStyle w:val="default"/>
          <w:rFonts w:cs="FrankRuehl" w:hint="cs"/>
          <w:sz w:val="20"/>
          <w:rtl/>
        </w:rPr>
      </w:pPr>
      <w:r>
        <w:rPr>
          <w:rFonts w:cs="FrankRuehl" w:hint="cs"/>
          <w:rtl/>
          <w:lang w:eastAsia="en-US"/>
        </w:rPr>
        <w:pict w14:anchorId="49645283">
          <v:shape id="_x0000_s1121" type="#_x0000_t202" style="position:absolute;left:0;text-align:left;margin-left:467.1pt;margin-top:7.1pt;width:75.25pt;height:10pt;z-index:251661824" filled="f" stroked="f">
            <v:textbox inset="1mm,0,1mm,0">
              <w:txbxContent>
                <w:p w14:paraId="1FEEB911" w14:textId="77777777" w:rsidR="00621FC6" w:rsidRDefault="00621FC6" w:rsidP="00621FC6">
                  <w:pPr>
                    <w:spacing w:line="160" w:lineRule="exact"/>
                    <w:rPr>
                      <w:rFonts w:cs="Miriam" w:hint="cs"/>
                      <w:noProof/>
                      <w:sz w:val="18"/>
                      <w:szCs w:val="18"/>
                      <w:rtl/>
                    </w:rPr>
                  </w:pPr>
                  <w:r>
                    <w:rPr>
                      <w:rFonts w:cs="Miriam" w:hint="cs"/>
                      <w:sz w:val="18"/>
                      <w:szCs w:val="18"/>
                      <w:rtl/>
                    </w:rPr>
                    <w:t>הודעה תשע"ו-2016</w:t>
                  </w:r>
                </w:p>
              </w:txbxContent>
            </v:textbox>
            <w10:anchorlock/>
          </v:shape>
        </w:pict>
      </w:r>
      <w:r w:rsidR="00582089">
        <w:rPr>
          <w:rStyle w:val="default"/>
          <w:rFonts w:cs="FrankRuehl" w:hint="cs"/>
          <w:sz w:val="20"/>
          <w:rtl/>
        </w:rPr>
        <w:t>5.</w:t>
      </w:r>
      <w:r w:rsidR="00582089">
        <w:rPr>
          <w:rStyle w:val="default"/>
          <w:rFonts w:cs="FrankRuehl" w:hint="cs"/>
          <w:sz w:val="20"/>
          <w:rtl/>
        </w:rPr>
        <w:tab/>
        <w:t xml:space="preserve">ציוד קצה ספרתי הפועל במישק </w:t>
      </w:r>
      <w:r w:rsidR="00582089">
        <w:rPr>
          <w:rStyle w:val="default"/>
          <w:rFonts w:cs="FrankRuehl"/>
          <w:sz w:val="20"/>
        </w:rPr>
        <w:t>ISDN/BRI</w:t>
      </w:r>
      <w:r w:rsidR="00582089">
        <w:rPr>
          <w:rStyle w:val="default"/>
          <w:rFonts w:cs="FrankRuehl" w:hint="cs"/>
          <w:sz w:val="20"/>
          <w:rtl/>
        </w:rPr>
        <w:t xml:space="preserve"> לפי תקן </w:t>
      </w:r>
      <w:r w:rsidR="00582089">
        <w:rPr>
          <w:rStyle w:val="default"/>
          <w:rFonts w:cs="FrankRuehl"/>
          <w:sz w:val="20"/>
        </w:rPr>
        <w:t>TBR3</w:t>
      </w:r>
      <w:r w:rsidR="00582089">
        <w:rPr>
          <w:rStyle w:val="default"/>
          <w:rFonts w:cs="FrankRuehl" w:hint="cs"/>
          <w:sz w:val="20"/>
          <w:rtl/>
        </w:rPr>
        <w:t xml:space="preserve"> שקבע </w:t>
      </w:r>
      <w:r w:rsidR="00582089">
        <w:rPr>
          <w:rStyle w:val="default"/>
          <w:rFonts w:cs="FrankRuehl"/>
          <w:sz w:val="20"/>
        </w:rPr>
        <w:t>ETSI</w:t>
      </w:r>
      <w:r w:rsidR="00582089">
        <w:rPr>
          <w:rStyle w:val="a6"/>
          <w:rFonts w:cs="FrankRuehl"/>
          <w:rtl/>
        </w:rPr>
        <w:footnoteReference w:id="14"/>
      </w:r>
      <w:r w:rsidR="00582089">
        <w:rPr>
          <w:rStyle w:val="default"/>
          <w:rFonts w:cs="FrankRuehl" w:hint="cs"/>
          <w:sz w:val="20"/>
          <w:rtl/>
        </w:rPr>
        <w:t xml:space="preserve">, ונושא סימן </w:t>
      </w:r>
      <w:r w:rsidR="00582089">
        <w:rPr>
          <w:rStyle w:val="default"/>
          <w:rFonts w:cs="FrankRuehl"/>
          <w:sz w:val="20"/>
        </w:rPr>
        <w:t>CE</w:t>
      </w:r>
      <w:r w:rsidR="00582089">
        <w:rPr>
          <w:rStyle w:val="default"/>
          <w:rFonts w:cs="FrankRuehl" w:hint="cs"/>
          <w:sz w:val="20"/>
          <w:rtl/>
        </w:rPr>
        <w:t xml:space="preserve">, </w:t>
      </w:r>
      <w:r w:rsidR="00582089">
        <w:rPr>
          <w:rStyle w:val="default"/>
          <w:rFonts w:cs="FrankRuehl"/>
          <w:sz w:val="20"/>
        </w:rPr>
        <w:t>FCC</w:t>
      </w:r>
      <w:r w:rsidR="00582089">
        <w:rPr>
          <w:rStyle w:val="default"/>
          <w:rFonts w:cs="FrankRuehl" w:hint="cs"/>
          <w:sz w:val="20"/>
          <w:rtl/>
        </w:rPr>
        <w:t xml:space="preserve">, </w:t>
      </w:r>
      <w:r w:rsidR="00582089">
        <w:rPr>
          <w:rStyle w:val="default"/>
          <w:rFonts w:cs="FrankRuehl"/>
          <w:sz w:val="20"/>
        </w:rPr>
        <w:t>IC</w:t>
      </w:r>
      <w:r w:rsidR="00582089">
        <w:rPr>
          <w:rStyle w:val="default"/>
          <w:rFonts w:cs="FrankRuehl" w:hint="cs"/>
          <w:sz w:val="20"/>
          <w:rtl/>
        </w:rPr>
        <w:t xml:space="preserve"> או </w:t>
      </w:r>
      <w:r w:rsidRPr="00942E80">
        <w:rPr>
          <w:rStyle w:val="default"/>
          <w:rFonts w:cs="FrankRuehl"/>
          <w:sz w:val="20"/>
        </w:rPr>
        <w:t>RCM</w:t>
      </w:r>
      <w:r w:rsidRPr="00942E80">
        <w:rPr>
          <w:rStyle w:val="default"/>
          <w:rFonts w:cs="FrankRuehl" w:hint="cs"/>
          <w:sz w:val="20"/>
          <w:rtl/>
        </w:rPr>
        <w:t xml:space="preserve"> (</w:t>
      </w:r>
      <w:r w:rsidRPr="00942E80">
        <w:rPr>
          <w:rStyle w:val="default"/>
          <w:rFonts w:cs="FrankRuehl"/>
          <w:sz w:val="20"/>
        </w:rPr>
        <w:t>Regulatory Compliance Mark</w:t>
      </w:r>
      <w:r w:rsidRPr="00942E80">
        <w:rPr>
          <w:rStyle w:val="default"/>
          <w:rFonts w:cs="FrankRuehl" w:hint="cs"/>
          <w:sz w:val="20"/>
          <w:rtl/>
        </w:rPr>
        <w:t>)</w:t>
      </w:r>
      <w:r w:rsidR="00582089">
        <w:rPr>
          <w:rStyle w:val="default"/>
          <w:rFonts w:cs="FrankRuehl" w:hint="cs"/>
          <w:sz w:val="20"/>
          <w:rtl/>
        </w:rPr>
        <w:t>.</w:t>
      </w:r>
    </w:p>
    <w:p w14:paraId="2A27E61C" w14:textId="77777777" w:rsidR="00621FC6" w:rsidRPr="00621FC6" w:rsidRDefault="00621FC6" w:rsidP="00621FC6">
      <w:pPr>
        <w:pStyle w:val="P00"/>
        <w:spacing w:before="0"/>
        <w:ind w:left="0" w:right="1134"/>
        <w:rPr>
          <w:rStyle w:val="default"/>
          <w:rFonts w:cs="FrankRuehl" w:hint="cs"/>
          <w:vanish/>
          <w:color w:val="FF0000"/>
          <w:sz w:val="20"/>
          <w:szCs w:val="20"/>
          <w:shd w:val="clear" w:color="auto" w:fill="FFFF99"/>
          <w:rtl/>
        </w:rPr>
      </w:pPr>
      <w:bookmarkStart w:id="10" w:name="Rov11"/>
      <w:r w:rsidRPr="00621FC6">
        <w:rPr>
          <w:rStyle w:val="default"/>
          <w:rFonts w:cs="FrankRuehl" w:hint="cs"/>
          <w:vanish/>
          <w:color w:val="FF0000"/>
          <w:sz w:val="20"/>
          <w:szCs w:val="20"/>
          <w:shd w:val="clear" w:color="auto" w:fill="FFFF99"/>
          <w:rtl/>
        </w:rPr>
        <w:t>מיום 3.4.2016</w:t>
      </w:r>
    </w:p>
    <w:p w14:paraId="57B397B0" w14:textId="77777777" w:rsidR="00621FC6" w:rsidRPr="00621FC6" w:rsidRDefault="00621FC6" w:rsidP="00621FC6">
      <w:pPr>
        <w:pStyle w:val="P00"/>
        <w:spacing w:before="0"/>
        <w:ind w:left="0" w:right="1134"/>
        <w:rPr>
          <w:rStyle w:val="default"/>
          <w:rFonts w:cs="FrankRuehl" w:hint="cs"/>
          <w:vanish/>
          <w:sz w:val="20"/>
          <w:szCs w:val="20"/>
          <w:shd w:val="clear" w:color="auto" w:fill="FFFF99"/>
          <w:rtl/>
        </w:rPr>
      </w:pPr>
      <w:r w:rsidRPr="00621FC6">
        <w:rPr>
          <w:rStyle w:val="default"/>
          <w:rFonts w:cs="FrankRuehl" w:hint="cs"/>
          <w:b/>
          <w:bCs/>
          <w:vanish/>
          <w:sz w:val="20"/>
          <w:szCs w:val="20"/>
          <w:shd w:val="clear" w:color="auto" w:fill="FFFF99"/>
          <w:rtl/>
        </w:rPr>
        <w:t>הודעה תשע"ו-2016</w:t>
      </w:r>
    </w:p>
    <w:p w14:paraId="1FCF1AC6" w14:textId="77777777" w:rsidR="00621FC6" w:rsidRPr="00621FC6" w:rsidRDefault="00621FC6" w:rsidP="00621FC6">
      <w:pPr>
        <w:pStyle w:val="P00"/>
        <w:spacing w:before="0"/>
        <w:ind w:left="0" w:right="1134"/>
        <w:rPr>
          <w:rStyle w:val="default"/>
          <w:rFonts w:cs="FrankRuehl" w:hint="cs"/>
          <w:vanish/>
          <w:sz w:val="20"/>
          <w:szCs w:val="20"/>
          <w:shd w:val="clear" w:color="auto" w:fill="FFFF99"/>
          <w:rtl/>
        </w:rPr>
      </w:pPr>
      <w:hyperlink r:id="rId10" w:history="1">
        <w:r w:rsidRPr="00621FC6">
          <w:rPr>
            <w:rStyle w:val="Hyperlink"/>
            <w:rFonts w:cs="FrankRuehl" w:hint="cs"/>
            <w:vanish/>
            <w:szCs w:val="20"/>
            <w:shd w:val="clear" w:color="auto" w:fill="FFFF99"/>
            <w:rtl/>
          </w:rPr>
          <w:t>י"פ תשע"ו מס' 7186</w:t>
        </w:r>
      </w:hyperlink>
      <w:r w:rsidRPr="00621FC6">
        <w:rPr>
          <w:rStyle w:val="default"/>
          <w:rFonts w:cs="FrankRuehl" w:hint="cs"/>
          <w:vanish/>
          <w:sz w:val="20"/>
          <w:szCs w:val="20"/>
          <w:shd w:val="clear" w:color="auto" w:fill="FFFF99"/>
          <w:rtl/>
        </w:rPr>
        <w:t xml:space="preserve"> מיום 14.1.2016 עמ' 2688</w:t>
      </w:r>
    </w:p>
    <w:p w14:paraId="6742DD9E" w14:textId="77777777" w:rsidR="00621FC6" w:rsidRPr="00621FC6" w:rsidRDefault="00621FC6" w:rsidP="00621FC6">
      <w:pPr>
        <w:pStyle w:val="P00"/>
        <w:ind w:left="624" w:right="1134" w:hanging="624"/>
        <w:rPr>
          <w:rStyle w:val="default"/>
          <w:rFonts w:cs="FrankRuehl" w:hint="cs"/>
          <w:sz w:val="2"/>
          <w:szCs w:val="2"/>
          <w:rtl/>
        </w:rPr>
      </w:pPr>
      <w:r w:rsidRPr="00621FC6">
        <w:rPr>
          <w:rStyle w:val="default"/>
          <w:rFonts w:cs="FrankRuehl" w:hint="cs"/>
          <w:vanish/>
          <w:sz w:val="18"/>
          <w:szCs w:val="22"/>
          <w:shd w:val="clear" w:color="auto" w:fill="FFFF99"/>
          <w:rtl/>
        </w:rPr>
        <w:t>5.</w:t>
      </w:r>
      <w:r w:rsidRPr="00621FC6">
        <w:rPr>
          <w:rStyle w:val="default"/>
          <w:rFonts w:cs="FrankRuehl" w:hint="cs"/>
          <w:vanish/>
          <w:sz w:val="18"/>
          <w:szCs w:val="22"/>
          <w:shd w:val="clear" w:color="auto" w:fill="FFFF99"/>
          <w:rtl/>
        </w:rPr>
        <w:tab/>
        <w:t xml:space="preserve">ציוד קצה ספרתי הפועל במישק </w:t>
      </w:r>
      <w:r w:rsidRPr="00621FC6">
        <w:rPr>
          <w:rStyle w:val="default"/>
          <w:rFonts w:cs="FrankRuehl"/>
          <w:vanish/>
          <w:sz w:val="18"/>
          <w:szCs w:val="22"/>
          <w:shd w:val="clear" w:color="auto" w:fill="FFFF99"/>
        </w:rPr>
        <w:t>ISDN/BRI</w:t>
      </w:r>
      <w:r w:rsidRPr="00621FC6">
        <w:rPr>
          <w:rStyle w:val="default"/>
          <w:rFonts w:cs="FrankRuehl" w:hint="cs"/>
          <w:vanish/>
          <w:sz w:val="18"/>
          <w:szCs w:val="22"/>
          <w:shd w:val="clear" w:color="auto" w:fill="FFFF99"/>
          <w:rtl/>
        </w:rPr>
        <w:t xml:space="preserve"> לפי תקן </w:t>
      </w:r>
      <w:r w:rsidRPr="00621FC6">
        <w:rPr>
          <w:rStyle w:val="default"/>
          <w:rFonts w:cs="FrankRuehl"/>
          <w:vanish/>
          <w:sz w:val="18"/>
          <w:szCs w:val="22"/>
          <w:shd w:val="clear" w:color="auto" w:fill="FFFF99"/>
        </w:rPr>
        <w:t>TBR3</w:t>
      </w:r>
      <w:r w:rsidRPr="00621FC6">
        <w:rPr>
          <w:rStyle w:val="default"/>
          <w:rFonts w:cs="FrankRuehl" w:hint="cs"/>
          <w:vanish/>
          <w:sz w:val="18"/>
          <w:szCs w:val="22"/>
          <w:shd w:val="clear" w:color="auto" w:fill="FFFF99"/>
          <w:rtl/>
        </w:rPr>
        <w:t xml:space="preserve"> שקבע </w:t>
      </w:r>
      <w:r w:rsidRPr="00621FC6">
        <w:rPr>
          <w:rStyle w:val="default"/>
          <w:rFonts w:cs="FrankRuehl"/>
          <w:vanish/>
          <w:sz w:val="18"/>
          <w:szCs w:val="22"/>
          <w:shd w:val="clear" w:color="auto" w:fill="FFFF99"/>
        </w:rPr>
        <w:t>ETSI</w:t>
      </w:r>
      <w:r w:rsidRPr="00621FC6">
        <w:rPr>
          <w:rStyle w:val="a6"/>
          <w:rFonts w:cs="FrankRuehl"/>
          <w:vanish/>
          <w:sz w:val="18"/>
          <w:szCs w:val="22"/>
          <w:shd w:val="clear" w:color="auto" w:fill="FFFF99"/>
          <w:rtl/>
        </w:rPr>
        <w:footnoteReference w:id="15"/>
      </w:r>
      <w:r w:rsidRPr="00621FC6">
        <w:rPr>
          <w:rStyle w:val="default"/>
          <w:rFonts w:cs="FrankRuehl" w:hint="cs"/>
          <w:vanish/>
          <w:sz w:val="18"/>
          <w:szCs w:val="22"/>
          <w:shd w:val="clear" w:color="auto" w:fill="FFFF99"/>
          <w:rtl/>
        </w:rPr>
        <w:t xml:space="preserve">, ונושא סימן </w:t>
      </w:r>
      <w:r w:rsidRPr="00621FC6">
        <w:rPr>
          <w:rStyle w:val="default"/>
          <w:rFonts w:cs="FrankRuehl"/>
          <w:vanish/>
          <w:sz w:val="18"/>
          <w:szCs w:val="22"/>
          <w:shd w:val="clear" w:color="auto" w:fill="FFFF99"/>
        </w:rPr>
        <w:t>CE</w:t>
      </w:r>
      <w:r w:rsidRPr="00621FC6">
        <w:rPr>
          <w:rStyle w:val="default"/>
          <w:rFonts w:cs="FrankRuehl" w:hint="cs"/>
          <w:vanish/>
          <w:sz w:val="18"/>
          <w:szCs w:val="22"/>
          <w:shd w:val="clear" w:color="auto" w:fill="FFFF99"/>
          <w:rtl/>
        </w:rPr>
        <w:t xml:space="preserve">, </w:t>
      </w:r>
      <w:r w:rsidRPr="00621FC6">
        <w:rPr>
          <w:rStyle w:val="default"/>
          <w:rFonts w:cs="FrankRuehl"/>
          <w:vanish/>
          <w:sz w:val="18"/>
          <w:szCs w:val="22"/>
          <w:shd w:val="clear" w:color="auto" w:fill="FFFF99"/>
        </w:rPr>
        <w:t>FCC</w:t>
      </w:r>
      <w:r w:rsidRPr="00621FC6">
        <w:rPr>
          <w:rStyle w:val="default"/>
          <w:rFonts w:cs="FrankRuehl" w:hint="cs"/>
          <w:vanish/>
          <w:sz w:val="18"/>
          <w:szCs w:val="22"/>
          <w:shd w:val="clear" w:color="auto" w:fill="FFFF99"/>
          <w:rtl/>
        </w:rPr>
        <w:t xml:space="preserve">, </w:t>
      </w:r>
      <w:r w:rsidRPr="00621FC6">
        <w:rPr>
          <w:rStyle w:val="default"/>
          <w:rFonts w:cs="FrankRuehl"/>
          <w:vanish/>
          <w:sz w:val="18"/>
          <w:szCs w:val="22"/>
          <w:shd w:val="clear" w:color="auto" w:fill="FFFF99"/>
        </w:rPr>
        <w:t>IC</w:t>
      </w:r>
      <w:r w:rsidRPr="00621FC6">
        <w:rPr>
          <w:rStyle w:val="default"/>
          <w:rFonts w:cs="FrankRuehl" w:hint="cs"/>
          <w:vanish/>
          <w:sz w:val="18"/>
          <w:szCs w:val="22"/>
          <w:shd w:val="clear" w:color="auto" w:fill="FFFF99"/>
          <w:rtl/>
        </w:rPr>
        <w:t xml:space="preserve"> או </w:t>
      </w:r>
      <w:r w:rsidRPr="00621FC6">
        <w:rPr>
          <w:rStyle w:val="default"/>
          <w:rFonts w:cs="FrankRuehl"/>
          <w:strike/>
          <w:vanish/>
          <w:sz w:val="18"/>
          <w:szCs w:val="22"/>
          <w:shd w:val="clear" w:color="auto" w:fill="FFFF99"/>
        </w:rPr>
        <w:t>A-Tick</w:t>
      </w:r>
      <w:r w:rsidRPr="00621FC6">
        <w:rPr>
          <w:rStyle w:val="default"/>
          <w:rFonts w:cs="FrankRuehl" w:hint="cs"/>
          <w:vanish/>
          <w:sz w:val="18"/>
          <w:szCs w:val="22"/>
          <w:shd w:val="clear" w:color="auto" w:fill="FFFF99"/>
          <w:rtl/>
        </w:rPr>
        <w:t xml:space="preserve"> </w:t>
      </w:r>
      <w:r w:rsidRPr="00621FC6">
        <w:rPr>
          <w:rStyle w:val="default"/>
          <w:rFonts w:cs="FrankRuehl"/>
          <w:vanish/>
          <w:sz w:val="18"/>
          <w:szCs w:val="22"/>
          <w:u w:val="single"/>
          <w:shd w:val="clear" w:color="auto" w:fill="FFFF99"/>
        </w:rPr>
        <w:t>RCM</w:t>
      </w:r>
      <w:r w:rsidRPr="00621FC6">
        <w:rPr>
          <w:rStyle w:val="default"/>
          <w:rFonts w:cs="FrankRuehl" w:hint="cs"/>
          <w:vanish/>
          <w:sz w:val="18"/>
          <w:szCs w:val="22"/>
          <w:u w:val="single"/>
          <w:shd w:val="clear" w:color="auto" w:fill="FFFF99"/>
          <w:rtl/>
        </w:rPr>
        <w:t xml:space="preserve"> (</w:t>
      </w:r>
      <w:r w:rsidRPr="00621FC6">
        <w:rPr>
          <w:rStyle w:val="default"/>
          <w:rFonts w:cs="FrankRuehl"/>
          <w:vanish/>
          <w:sz w:val="18"/>
          <w:szCs w:val="22"/>
          <w:u w:val="single"/>
          <w:shd w:val="clear" w:color="auto" w:fill="FFFF99"/>
        </w:rPr>
        <w:t>Regulatory Compliance Mark</w:t>
      </w:r>
      <w:r w:rsidRPr="00621FC6">
        <w:rPr>
          <w:rStyle w:val="default"/>
          <w:rFonts w:cs="FrankRuehl" w:hint="cs"/>
          <w:vanish/>
          <w:sz w:val="18"/>
          <w:szCs w:val="22"/>
          <w:u w:val="single"/>
          <w:shd w:val="clear" w:color="auto" w:fill="FFFF99"/>
          <w:rtl/>
        </w:rPr>
        <w:t>)</w:t>
      </w:r>
      <w:r w:rsidRPr="00621FC6">
        <w:rPr>
          <w:rStyle w:val="default"/>
          <w:rFonts w:cs="FrankRuehl" w:hint="cs"/>
          <w:vanish/>
          <w:sz w:val="18"/>
          <w:szCs w:val="22"/>
          <w:shd w:val="clear" w:color="auto" w:fill="FFFF99"/>
          <w:rtl/>
        </w:rPr>
        <w:t>.</w:t>
      </w:r>
      <w:bookmarkEnd w:id="10"/>
    </w:p>
    <w:p w14:paraId="0B3CDF60" w14:textId="77777777" w:rsidR="00582089" w:rsidRDefault="00621FC6" w:rsidP="00621FC6">
      <w:pPr>
        <w:pStyle w:val="P00"/>
        <w:spacing w:before="72"/>
        <w:ind w:left="624" w:right="1134" w:hanging="624"/>
        <w:rPr>
          <w:rStyle w:val="default"/>
          <w:rFonts w:cs="FrankRuehl" w:hint="cs"/>
          <w:sz w:val="20"/>
          <w:rtl/>
        </w:rPr>
      </w:pPr>
      <w:r>
        <w:rPr>
          <w:rFonts w:cs="FrankRuehl" w:hint="cs"/>
          <w:rtl/>
          <w:lang w:eastAsia="en-US"/>
        </w:rPr>
        <w:pict w14:anchorId="28BE5278">
          <v:shape id="_x0000_s1124" type="#_x0000_t202" style="position:absolute;left:0;text-align:left;margin-left:467.1pt;margin-top:7.1pt;width:75.25pt;height:13.5pt;z-index:251662848" filled="f" stroked="f">
            <v:textbox inset="1mm,0,1mm,0">
              <w:txbxContent>
                <w:p w14:paraId="0EC57189" w14:textId="77777777" w:rsidR="00621FC6" w:rsidRDefault="00621FC6" w:rsidP="00621FC6">
                  <w:pPr>
                    <w:spacing w:line="160" w:lineRule="exact"/>
                    <w:rPr>
                      <w:rFonts w:cs="Miriam" w:hint="cs"/>
                      <w:noProof/>
                      <w:sz w:val="18"/>
                      <w:szCs w:val="18"/>
                      <w:rtl/>
                    </w:rPr>
                  </w:pPr>
                  <w:r>
                    <w:rPr>
                      <w:rFonts w:cs="Miriam" w:hint="cs"/>
                      <w:sz w:val="18"/>
                      <w:szCs w:val="18"/>
                      <w:rtl/>
                    </w:rPr>
                    <w:t>הודעה תשע"ו-2016</w:t>
                  </w:r>
                </w:p>
              </w:txbxContent>
            </v:textbox>
            <w10:anchorlock/>
          </v:shape>
        </w:pict>
      </w:r>
      <w:r w:rsidR="00582089">
        <w:rPr>
          <w:rStyle w:val="default"/>
          <w:rFonts w:cs="FrankRuehl" w:hint="cs"/>
          <w:sz w:val="20"/>
          <w:rtl/>
        </w:rPr>
        <w:t>6.</w:t>
      </w:r>
      <w:r w:rsidR="00582089">
        <w:rPr>
          <w:rStyle w:val="default"/>
          <w:rFonts w:cs="FrankRuehl" w:hint="cs"/>
          <w:sz w:val="20"/>
          <w:rtl/>
        </w:rPr>
        <w:tab/>
        <w:t xml:space="preserve">ציוד קצה ספרתי הפועל במישק </w:t>
      </w:r>
      <w:r w:rsidR="00582089">
        <w:rPr>
          <w:rStyle w:val="default"/>
          <w:rFonts w:cs="FrankRuehl"/>
          <w:sz w:val="20"/>
        </w:rPr>
        <w:t>ISDN/PRI</w:t>
      </w:r>
      <w:r w:rsidR="00582089">
        <w:rPr>
          <w:rStyle w:val="default"/>
          <w:rFonts w:cs="FrankRuehl" w:hint="cs"/>
          <w:sz w:val="20"/>
          <w:rtl/>
        </w:rPr>
        <w:t xml:space="preserve"> לפי תקן </w:t>
      </w:r>
      <w:r w:rsidR="00582089">
        <w:rPr>
          <w:rStyle w:val="default"/>
          <w:rFonts w:cs="FrankRuehl"/>
          <w:sz w:val="20"/>
        </w:rPr>
        <w:t>TBR4</w:t>
      </w:r>
      <w:r w:rsidR="00582089">
        <w:rPr>
          <w:rStyle w:val="default"/>
          <w:rFonts w:cs="FrankRuehl" w:hint="cs"/>
          <w:sz w:val="20"/>
          <w:rtl/>
        </w:rPr>
        <w:t xml:space="preserve"> שקבע </w:t>
      </w:r>
      <w:r w:rsidR="00582089">
        <w:rPr>
          <w:rStyle w:val="default"/>
          <w:rFonts w:cs="FrankRuehl"/>
          <w:sz w:val="20"/>
        </w:rPr>
        <w:t>ETSI</w:t>
      </w:r>
      <w:r w:rsidR="00582089">
        <w:rPr>
          <w:rStyle w:val="a6"/>
          <w:rFonts w:cs="FrankRuehl"/>
          <w:rtl/>
        </w:rPr>
        <w:footnoteReference w:id="16"/>
      </w:r>
      <w:r w:rsidR="00582089">
        <w:rPr>
          <w:rStyle w:val="default"/>
          <w:rFonts w:cs="FrankRuehl" w:hint="cs"/>
          <w:sz w:val="20"/>
          <w:rtl/>
        </w:rPr>
        <w:t xml:space="preserve">, או במישק </w:t>
      </w:r>
      <w:r w:rsidR="006B185F">
        <w:rPr>
          <w:rStyle w:val="default"/>
          <w:rFonts w:cs="FrankRuehl"/>
          <w:sz w:val="20"/>
        </w:rPr>
        <w:t>E1</w:t>
      </w:r>
      <w:r w:rsidR="006B185F">
        <w:rPr>
          <w:rStyle w:val="default"/>
          <w:rFonts w:cs="FrankRuehl" w:hint="cs"/>
          <w:sz w:val="20"/>
          <w:rtl/>
        </w:rPr>
        <w:t xml:space="preserve"> לפי מפרט </w:t>
      </w:r>
      <w:r w:rsidR="006B185F">
        <w:rPr>
          <w:rStyle w:val="default"/>
          <w:rFonts w:cs="FrankRuehl"/>
          <w:sz w:val="20"/>
        </w:rPr>
        <w:t>G.703</w:t>
      </w:r>
      <w:r w:rsidR="006B185F">
        <w:rPr>
          <w:rStyle w:val="default"/>
          <w:rFonts w:cs="FrankRuehl" w:hint="cs"/>
          <w:sz w:val="20"/>
          <w:rtl/>
        </w:rPr>
        <w:t xml:space="preserve"> שקבע </w:t>
      </w:r>
      <w:r w:rsidR="006B185F">
        <w:rPr>
          <w:rStyle w:val="default"/>
          <w:rFonts w:cs="FrankRuehl"/>
          <w:sz w:val="20"/>
        </w:rPr>
        <w:t>ITU-T</w:t>
      </w:r>
      <w:r w:rsidR="006B185F">
        <w:rPr>
          <w:rStyle w:val="default"/>
          <w:rFonts w:cs="FrankRuehl" w:hint="cs"/>
          <w:sz w:val="20"/>
          <w:rtl/>
        </w:rPr>
        <w:t xml:space="preserve">, ונושא סימן </w:t>
      </w:r>
      <w:r w:rsidR="006B185F">
        <w:rPr>
          <w:rStyle w:val="default"/>
          <w:rFonts w:cs="FrankRuehl"/>
          <w:sz w:val="20"/>
        </w:rPr>
        <w:t>CE</w:t>
      </w:r>
      <w:r w:rsidR="006B185F">
        <w:rPr>
          <w:rStyle w:val="default"/>
          <w:rFonts w:cs="FrankRuehl" w:hint="cs"/>
          <w:sz w:val="20"/>
          <w:rtl/>
        </w:rPr>
        <w:t xml:space="preserve">, </w:t>
      </w:r>
      <w:r w:rsidR="006B185F">
        <w:rPr>
          <w:rStyle w:val="default"/>
          <w:rFonts w:cs="FrankRuehl"/>
          <w:sz w:val="20"/>
        </w:rPr>
        <w:t>FCC</w:t>
      </w:r>
      <w:r w:rsidR="006B185F">
        <w:rPr>
          <w:rStyle w:val="default"/>
          <w:rFonts w:cs="FrankRuehl" w:hint="cs"/>
          <w:sz w:val="20"/>
          <w:rtl/>
        </w:rPr>
        <w:t xml:space="preserve">, </w:t>
      </w:r>
      <w:r w:rsidR="006B185F">
        <w:rPr>
          <w:rStyle w:val="default"/>
          <w:rFonts w:cs="FrankRuehl"/>
          <w:sz w:val="20"/>
        </w:rPr>
        <w:t>IC</w:t>
      </w:r>
      <w:r w:rsidR="006B185F">
        <w:rPr>
          <w:rStyle w:val="default"/>
          <w:rFonts w:cs="FrankRuehl" w:hint="cs"/>
          <w:sz w:val="20"/>
          <w:rtl/>
        </w:rPr>
        <w:t xml:space="preserve"> או </w:t>
      </w:r>
      <w:r w:rsidRPr="00942E80">
        <w:rPr>
          <w:rStyle w:val="default"/>
          <w:rFonts w:cs="FrankRuehl"/>
          <w:sz w:val="20"/>
        </w:rPr>
        <w:t>RCM</w:t>
      </w:r>
      <w:r w:rsidRPr="00942E80">
        <w:rPr>
          <w:rStyle w:val="default"/>
          <w:rFonts w:cs="FrankRuehl" w:hint="cs"/>
          <w:sz w:val="20"/>
          <w:rtl/>
        </w:rPr>
        <w:t xml:space="preserve"> (</w:t>
      </w:r>
      <w:r w:rsidRPr="00942E80">
        <w:rPr>
          <w:rStyle w:val="default"/>
          <w:rFonts w:cs="FrankRuehl"/>
          <w:sz w:val="20"/>
        </w:rPr>
        <w:t>Regulatory Compliance Mark</w:t>
      </w:r>
      <w:r w:rsidRPr="00942E80">
        <w:rPr>
          <w:rStyle w:val="default"/>
          <w:rFonts w:cs="FrankRuehl" w:hint="cs"/>
          <w:sz w:val="20"/>
          <w:rtl/>
        </w:rPr>
        <w:t>)</w:t>
      </w:r>
      <w:r w:rsidR="006B185F">
        <w:rPr>
          <w:rStyle w:val="default"/>
          <w:rFonts w:cs="FrankRuehl" w:hint="cs"/>
          <w:sz w:val="20"/>
          <w:rtl/>
        </w:rPr>
        <w:t>.</w:t>
      </w:r>
    </w:p>
    <w:p w14:paraId="39522BB5" w14:textId="77777777" w:rsidR="00621FC6" w:rsidRPr="00621FC6" w:rsidRDefault="00621FC6" w:rsidP="00621FC6">
      <w:pPr>
        <w:pStyle w:val="P00"/>
        <w:spacing w:before="0"/>
        <w:ind w:left="0" w:right="1134"/>
        <w:rPr>
          <w:rStyle w:val="default"/>
          <w:rFonts w:cs="FrankRuehl" w:hint="cs"/>
          <w:vanish/>
          <w:color w:val="FF0000"/>
          <w:sz w:val="20"/>
          <w:szCs w:val="20"/>
          <w:shd w:val="clear" w:color="auto" w:fill="FFFF99"/>
          <w:rtl/>
        </w:rPr>
      </w:pPr>
      <w:bookmarkStart w:id="11" w:name="Rov12"/>
      <w:r w:rsidRPr="00621FC6">
        <w:rPr>
          <w:rStyle w:val="default"/>
          <w:rFonts w:cs="FrankRuehl" w:hint="cs"/>
          <w:vanish/>
          <w:color w:val="FF0000"/>
          <w:sz w:val="20"/>
          <w:szCs w:val="20"/>
          <w:shd w:val="clear" w:color="auto" w:fill="FFFF99"/>
          <w:rtl/>
        </w:rPr>
        <w:t>מיום 3.4.2016</w:t>
      </w:r>
    </w:p>
    <w:p w14:paraId="2063A3AF" w14:textId="77777777" w:rsidR="00621FC6" w:rsidRPr="00621FC6" w:rsidRDefault="00621FC6" w:rsidP="00621FC6">
      <w:pPr>
        <w:pStyle w:val="P00"/>
        <w:spacing w:before="0"/>
        <w:ind w:left="0" w:right="1134"/>
        <w:rPr>
          <w:rStyle w:val="default"/>
          <w:rFonts w:cs="FrankRuehl" w:hint="cs"/>
          <w:vanish/>
          <w:sz w:val="20"/>
          <w:szCs w:val="20"/>
          <w:shd w:val="clear" w:color="auto" w:fill="FFFF99"/>
          <w:rtl/>
        </w:rPr>
      </w:pPr>
      <w:r w:rsidRPr="00621FC6">
        <w:rPr>
          <w:rStyle w:val="default"/>
          <w:rFonts w:cs="FrankRuehl" w:hint="cs"/>
          <w:b/>
          <w:bCs/>
          <w:vanish/>
          <w:sz w:val="20"/>
          <w:szCs w:val="20"/>
          <w:shd w:val="clear" w:color="auto" w:fill="FFFF99"/>
          <w:rtl/>
        </w:rPr>
        <w:t>הודעה תשע"ו-2016</w:t>
      </w:r>
    </w:p>
    <w:p w14:paraId="298B3DC1" w14:textId="77777777" w:rsidR="00621FC6" w:rsidRPr="00621FC6" w:rsidRDefault="00621FC6" w:rsidP="00621FC6">
      <w:pPr>
        <w:pStyle w:val="P00"/>
        <w:spacing w:before="0"/>
        <w:ind w:left="0" w:right="1134"/>
        <w:rPr>
          <w:rStyle w:val="default"/>
          <w:rFonts w:cs="FrankRuehl" w:hint="cs"/>
          <w:vanish/>
          <w:sz w:val="20"/>
          <w:szCs w:val="20"/>
          <w:shd w:val="clear" w:color="auto" w:fill="FFFF99"/>
          <w:rtl/>
        </w:rPr>
      </w:pPr>
      <w:hyperlink r:id="rId11" w:history="1">
        <w:r w:rsidRPr="00621FC6">
          <w:rPr>
            <w:rStyle w:val="Hyperlink"/>
            <w:rFonts w:cs="FrankRuehl" w:hint="cs"/>
            <w:vanish/>
            <w:szCs w:val="20"/>
            <w:shd w:val="clear" w:color="auto" w:fill="FFFF99"/>
            <w:rtl/>
          </w:rPr>
          <w:t>י"פ תשע"ו מס' 7186</w:t>
        </w:r>
      </w:hyperlink>
      <w:r w:rsidRPr="00621FC6">
        <w:rPr>
          <w:rStyle w:val="default"/>
          <w:rFonts w:cs="FrankRuehl" w:hint="cs"/>
          <w:vanish/>
          <w:sz w:val="20"/>
          <w:szCs w:val="20"/>
          <w:shd w:val="clear" w:color="auto" w:fill="FFFF99"/>
          <w:rtl/>
        </w:rPr>
        <w:t xml:space="preserve"> מיום 14.1.2016 עמ' 2688</w:t>
      </w:r>
    </w:p>
    <w:p w14:paraId="5DCCCC09" w14:textId="77777777" w:rsidR="00621FC6" w:rsidRPr="00621FC6" w:rsidRDefault="00621FC6" w:rsidP="00621FC6">
      <w:pPr>
        <w:pStyle w:val="P00"/>
        <w:ind w:left="624" w:right="1134" w:hanging="624"/>
        <w:rPr>
          <w:rStyle w:val="default"/>
          <w:rFonts w:cs="FrankRuehl" w:hint="cs"/>
          <w:sz w:val="2"/>
          <w:szCs w:val="2"/>
          <w:rtl/>
        </w:rPr>
      </w:pPr>
      <w:r w:rsidRPr="00621FC6">
        <w:rPr>
          <w:rStyle w:val="default"/>
          <w:rFonts w:cs="FrankRuehl" w:hint="cs"/>
          <w:vanish/>
          <w:sz w:val="18"/>
          <w:szCs w:val="22"/>
          <w:shd w:val="clear" w:color="auto" w:fill="FFFF99"/>
          <w:rtl/>
        </w:rPr>
        <w:t>6.</w:t>
      </w:r>
      <w:r w:rsidRPr="00621FC6">
        <w:rPr>
          <w:rStyle w:val="default"/>
          <w:rFonts w:cs="FrankRuehl" w:hint="cs"/>
          <w:vanish/>
          <w:sz w:val="18"/>
          <w:szCs w:val="22"/>
          <w:shd w:val="clear" w:color="auto" w:fill="FFFF99"/>
          <w:rtl/>
        </w:rPr>
        <w:tab/>
        <w:t xml:space="preserve">ציוד קצה ספרתי הפועל במישק </w:t>
      </w:r>
      <w:r w:rsidRPr="00621FC6">
        <w:rPr>
          <w:rStyle w:val="default"/>
          <w:rFonts w:cs="FrankRuehl"/>
          <w:vanish/>
          <w:sz w:val="18"/>
          <w:szCs w:val="22"/>
          <w:shd w:val="clear" w:color="auto" w:fill="FFFF99"/>
        </w:rPr>
        <w:t>ISDN/PRI</w:t>
      </w:r>
      <w:r w:rsidRPr="00621FC6">
        <w:rPr>
          <w:rStyle w:val="default"/>
          <w:rFonts w:cs="FrankRuehl" w:hint="cs"/>
          <w:vanish/>
          <w:sz w:val="18"/>
          <w:szCs w:val="22"/>
          <w:shd w:val="clear" w:color="auto" w:fill="FFFF99"/>
          <w:rtl/>
        </w:rPr>
        <w:t xml:space="preserve"> לפי תקן </w:t>
      </w:r>
      <w:r w:rsidRPr="00621FC6">
        <w:rPr>
          <w:rStyle w:val="default"/>
          <w:rFonts w:cs="FrankRuehl"/>
          <w:vanish/>
          <w:sz w:val="18"/>
          <w:szCs w:val="22"/>
          <w:shd w:val="clear" w:color="auto" w:fill="FFFF99"/>
        </w:rPr>
        <w:t>TBR4</w:t>
      </w:r>
      <w:r w:rsidRPr="00621FC6">
        <w:rPr>
          <w:rStyle w:val="default"/>
          <w:rFonts w:cs="FrankRuehl" w:hint="cs"/>
          <w:vanish/>
          <w:sz w:val="18"/>
          <w:szCs w:val="22"/>
          <w:shd w:val="clear" w:color="auto" w:fill="FFFF99"/>
          <w:rtl/>
        </w:rPr>
        <w:t xml:space="preserve"> שקבע </w:t>
      </w:r>
      <w:r w:rsidRPr="00621FC6">
        <w:rPr>
          <w:rStyle w:val="default"/>
          <w:rFonts w:cs="FrankRuehl"/>
          <w:vanish/>
          <w:sz w:val="18"/>
          <w:szCs w:val="22"/>
          <w:shd w:val="clear" w:color="auto" w:fill="FFFF99"/>
        </w:rPr>
        <w:t>ETSI</w:t>
      </w:r>
      <w:r w:rsidRPr="00621FC6">
        <w:rPr>
          <w:rStyle w:val="a6"/>
          <w:rFonts w:cs="FrankRuehl"/>
          <w:vanish/>
          <w:sz w:val="18"/>
          <w:szCs w:val="22"/>
          <w:shd w:val="clear" w:color="auto" w:fill="FFFF99"/>
          <w:rtl/>
        </w:rPr>
        <w:footnoteReference w:id="17"/>
      </w:r>
      <w:r w:rsidRPr="00621FC6">
        <w:rPr>
          <w:rStyle w:val="default"/>
          <w:rFonts w:cs="FrankRuehl" w:hint="cs"/>
          <w:vanish/>
          <w:sz w:val="18"/>
          <w:szCs w:val="22"/>
          <w:shd w:val="clear" w:color="auto" w:fill="FFFF99"/>
          <w:rtl/>
        </w:rPr>
        <w:t xml:space="preserve">, או במישק </w:t>
      </w:r>
      <w:r w:rsidRPr="00621FC6">
        <w:rPr>
          <w:rStyle w:val="default"/>
          <w:rFonts w:cs="FrankRuehl"/>
          <w:vanish/>
          <w:sz w:val="18"/>
          <w:szCs w:val="22"/>
          <w:shd w:val="clear" w:color="auto" w:fill="FFFF99"/>
        </w:rPr>
        <w:t>E1</w:t>
      </w:r>
      <w:r w:rsidRPr="00621FC6">
        <w:rPr>
          <w:rStyle w:val="default"/>
          <w:rFonts w:cs="FrankRuehl" w:hint="cs"/>
          <w:vanish/>
          <w:sz w:val="18"/>
          <w:szCs w:val="22"/>
          <w:shd w:val="clear" w:color="auto" w:fill="FFFF99"/>
          <w:rtl/>
        </w:rPr>
        <w:t xml:space="preserve"> לפי מפרט </w:t>
      </w:r>
      <w:r w:rsidRPr="00621FC6">
        <w:rPr>
          <w:rStyle w:val="default"/>
          <w:rFonts w:cs="FrankRuehl"/>
          <w:vanish/>
          <w:sz w:val="18"/>
          <w:szCs w:val="22"/>
          <w:shd w:val="clear" w:color="auto" w:fill="FFFF99"/>
        </w:rPr>
        <w:t>G.703</w:t>
      </w:r>
      <w:r w:rsidRPr="00621FC6">
        <w:rPr>
          <w:rStyle w:val="default"/>
          <w:rFonts w:cs="FrankRuehl" w:hint="cs"/>
          <w:vanish/>
          <w:sz w:val="18"/>
          <w:szCs w:val="22"/>
          <w:shd w:val="clear" w:color="auto" w:fill="FFFF99"/>
          <w:rtl/>
        </w:rPr>
        <w:t xml:space="preserve"> שקבע </w:t>
      </w:r>
      <w:r w:rsidRPr="00621FC6">
        <w:rPr>
          <w:rStyle w:val="default"/>
          <w:rFonts w:cs="FrankRuehl"/>
          <w:vanish/>
          <w:sz w:val="18"/>
          <w:szCs w:val="22"/>
          <w:shd w:val="clear" w:color="auto" w:fill="FFFF99"/>
        </w:rPr>
        <w:t>ITU-T</w:t>
      </w:r>
      <w:r w:rsidRPr="00621FC6">
        <w:rPr>
          <w:rStyle w:val="default"/>
          <w:rFonts w:cs="FrankRuehl" w:hint="cs"/>
          <w:vanish/>
          <w:sz w:val="18"/>
          <w:szCs w:val="22"/>
          <w:shd w:val="clear" w:color="auto" w:fill="FFFF99"/>
          <w:rtl/>
        </w:rPr>
        <w:t xml:space="preserve">, ונושא סימן </w:t>
      </w:r>
      <w:r w:rsidRPr="00621FC6">
        <w:rPr>
          <w:rStyle w:val="default"/>
          <w:rFonts w:cs="FrankRuehl"/>
          <w:vanish/>
          <w:sz w:val="18"/>
          <w:szCs w:val="22"/>
          <w:shd w:val="clear" w:color="auto" w:fill="FFFF99"/>
        </w:rPr>
        <w:t>CE</w:t>
      </w:r>
      <w:r w:rsidRPr="00621FC6">
        <w:rPr>
          <w:rStyle w:val="default"/>
          <w:rFonts w:cs="FrankRuehl" w:hint="cs"/>
          <w:vanish/>
          <w:sz w:val="18"/>
          <w:szCs w:val="22"/>
          <w:shd w:val="clear" w:color="auto" w:fill="FFFF99"/>
          <w:rtl/>
        </w:rPr>
        <w:t xml:space="preserve">, </w:t>
      </w:r>
      <w:r w:rsidRPr="00621FC6">
        <w:rPr>
          <w:rStyle w:val="default"/>
          <w:rFonts w:cs="FrankRuehl"/>
          <w:vanish/>
          <w:sz w:val="18"/>
          <w:szCs w:val="22"/>
          <w:shd w:val="clear" w:color="auto" w:fill="FFFF99"/>
        </w:rPr>
        <w:t>FCC</w:t>
      </w:r>
      <w:r w:rsidRPr="00621FC6">
        <w:rPr>
          <w:rStyle w:val="default"/>
          <w:rFonts w:cs="FrankRuehl" w:hint="cs"/>
          <w:vanish/>
          <w:sz w:val="18"/>
          <w:szCs w:val="22"/>
          <w:shd w:val="clear" w:color="auto" w:fill="FFFF99"/>
          <w:rtl/>
        </w:rPr>
        <w:t xml:space="preserve">, </w:t>
      </w:r>
      <w:r w:rsidRPr="00621FC6">
        <w:rPr>
          <w:rStyle w:val="default"/>
          <w:rFonts w:cs="FrankRuehl"/>
          <w:vanish/>
          <w:sz w:val="18"/>
          <w:szCs w:val="22"/>
          <w:shd w:val="clear" w:color="auto" w:fill="FFFF99"/>
        </w:rPr>
        <w:t>IC</w:t>
      </w:r>
      <w:r w:rsidRPr="00621FC6">
        <w:rPr>
          <w:rStyle w:val="default"/>
          <w:rFonts w:cs="FrankRuehl" w:hint="cs"/>
          <w:vanish/>
          <w:sz w:val="18"/>
          <w:szCs w:val="22"/>
          <w:shd w:val="clear" w:color="auto" w:fill="FFFF99"/>
          <w:rtl/>
        </w:rPr>
        <w:t xml:space="preserve"> או </w:t>
      </w:r>
      <w:r w:rsidRPr="00621FC6">
        <w:rPr>
          <w:rStyle w:val="default"/>
          <w:rFonts w:cs="FrankRuehl"/>
          <w:strike/>
          <w:vanish/>
          <w:sz w:val="18"/>
          <w:szCs w:val="22"/>
          <w:shd w:val="clear" w:color="auto" w:fill="FFFF99"/>
        </w:rPr>
        <w:t>A-Tick</w:t>
      </w:r>
      <w:r w:rsidRPr="00621FC6">
        <w:rPr>
          <w:rStyle w:val="default"/>
          <w:rFonts w:cs="FrankRuehl" w:hint="cs"/>
          <w:vanish/>
          <w:sz w:val="18"/>
          <w:szCs w:val="22"/>
          <w:shd w:val="clear" w:color="auto" w:fill="FFFF99"/>
          <w:rtl/>
        </w:rPr>
        <w:t xml:space="preserve"> </w:t>
      </w:r>
      <w:r w:rsidRPr="00621FC6">
        <w:rPr>
          <w:rStyle w:val="default"/>
          <w:rFonts w:cs="FrankRuehl"/>
          <w:vanish/>
          <w:sz w:val="18"/>
          <w:szCs w:val="22"/>
          <w:u w:val="single"/>
          <w:shd w:val="clear" w:color="auto" w:fill="FFFF99"/>
        </w:rPr>
        <w:t>RCM</w:t>
      </w:r>
      <w:r w:rsidRPr="00621FC6">
        <w:rPr>
          <w:rStyle w:val="default"/>
          <w:rFonts w:cs="FrankRuehl" w:hint="cs"/>
          <w:vanish/>
          <w:sz w:val="18"/>
          <w:szCs w:val="22"/>
          <w:u w:val="single"/>
          <w:shd w:val="clear" w:color="auto" w:fill="FFFF99"/>
          <w:rtl/>
        </w:rPr>
        <w:t xml:space="preserve"> (</w:t>
      </w:r>
      <w:r w:rsidRPr="00621FC6">
        <w:rPr>
          <w:rStyle w:val="default"/>
          <w:rFonts w:cs="FrankRuehl"/>
          <w:vanish/>
          <w:sz w:val="18"/>
          <w:szCs w:val="22"/>
          <w:u w:val="single"/>
          <w:shd w:val="clear" w:color="auto" w:fill="FFFF99"/>
        </w:rPr>
        <w:t>Regulatory Compliance Mark</w:t>
      </w:r>
      <w:r w:rsidRPr="00621FC6">
        <w:rPr>
          <w:rStyle w:val="default"/>
          <w:rFonts w:cs="FrankRuehl" w:hint="cs"/>
          <w:vanish/>
          <w:sz w:val="18"/>
          <w:szCs w:val="22"/>
          <w:u w:val="single"/>
          <w:shd w:val="clear" w:color="auto" w:fill="FFFF99"/>
          <w:rtl/>
        </w:rPr>
        <w:t>)</w:t>
      </w:r>
      <w:r w:rsidRPr="00621FC6">
        <w:rPr>
          <w:rStyle w:val="default"/>
          <w:rFonts w:cs="FrankRuehl" w:hint="cs"/>
          <w:vanish/>
          <w:sz w:val="18"/>
          <w:szCs w:val="22"/>
          <w:shd w:val="clear" w:color="auto" w:fill="FFFF99"/>
          <w:rtl/>
        </w:rPr>
        <w:t>.</w:t>
      </w:r>
      <w:bookmarkEnd w:id="11"/>
    </w:p>
    <w:p w14:paraId="14BC5495" w14:textId="77777777" w:rsidR="006B185F" w:rsidRPr="00582089" w:rsidRDefault="006B185F" w:rsidP="006B185F">
      <w:pPr>
        <w:pStyle w:val="P00"/>
        <w:spacing w:before="72"/>
        <w:ind w:left="624" w:right="1134" w:hanging="624"/>
        <w:rPr>
          <w:rStyle w:val="default"/>
          <w:rFonts w:cs="FrankRuehl" w:hint="cs"/>
          <w:sz w:val="20"/>
          <w:rtl/>
        </w:rPr>
      </w:pPr>
      <w:r>
        <w:rPr>
          <w:rStyle w:val="default"/>
          <w:rFonts w:cs="FrankRuehl" w:hint="cs"/>
          <w:sz w:val="20"/>
          <w:rtl/>
        </w:rPr>
        <w:t>7.</w:t>
      </w:r>
      <w:r>
        <w:rPr>
          <w:rStyle w:val="default"/>
          <w:rFonts w:cs="FrankRuehl" w:hint="cs"/>
          <w:sz w:val="20"/>
          <w:rtl/>
        </w:rPr>
        <w:tab/>
        <w:t xml:space="preserve">ציוד קצה ספרתי הפועל במישק </w:t>
      </w:r>
      <w:r>
        <w:rPr>
          <w:rStyle w:val="default"/>
          <w:rFonts w:cs="FrankRuehl"/>
          <w:sz w:val="20"/>
        </w:rPr>
        <w:t>SIP TRUNK</w:t>
      </w:r>
      <w:r>
        <w:rPr>
          <w:rStyle w:val="default"/>
          <w:rFonts w:cs="FrankRuehl" w:hint="cs"/>
          <w:sz w:val="20"/>
          <w:rtl/>
        </w:rPr>
        <w:t xml:space="preserve"> לפי תקן </w:t>
      </w:r>
      <w:r>
        <w:rPr>
          <w:rStyle w:val="default"/>
          <w:rFonts w:cs="FrankRuehl"/>
          <w:sz w:val="20"/>
        </w:rPr>
        <w:t>SIPconnect 1.0 Technical Recommendation</w:t>
      </w:r>
      <w:r>
        <w:rPr>
          <w:rStyle w:val="a6"/>
          <w:rFonts w:cs="FrankRuehl"/>
          <w:rtl/>
        </w:rPr>
        <w:footnoteReference w:id="18"/>
      </w:r>
      <w:r>
        <w:rPr>
          <w:rStyle w:val="default"/>
          <w:rFonts w:cs="FrankRuehl" w:hint="cs"/>
          <w:sz w:val="20"/>
          <w:rtl/>
        </w:rPr>
        <w:t xml:space="preserve">, מטעם </w:t>
      </w:r>
      <w:r>
        <w:rPr>
          <w:rStyle w:val="default"/>
          <w:rFonts w:cs="FrankRuehl"/>
          <w:sz w:val="20"/>
        </w:rPr>
        <w:t>SIP Forum</w:t>
      </w:r>
      <w:r>
        <w:rPr>
          <w:rStyle w:val="default"/>
          <w:rFonts w:cs="FrankRuehl" w:hint="cs"/>
          <w:sz w:val="20"/>
          <w:rtl/>
        </w:rPr>
        <w:t xml:space="preserve"> מיום ט"ז בשבט התשס"ח (23 בינואר 2008), או המסומן בת"י 6079, מחודש פברואר 2012 </w:t>
      </w:r>
      <w:r>
        <w:rPr>
          <w:rStyle w:val="default"/>
          <w:rFonts w:cs="FrankRuehl"/>
          <w:sz w:val="20"/>
          <w:rtl/>
        </w:rPr>
        <w:t>–</w:t>
      </w:r>
      <w:r>
        <w:rPr>
          <w:rStyle w:val="default"/>
          <w:rFonts w:cs="FrankRuehl" w:hint="cs"/>
          <w:sz w:val="20"/>
          <w:rtl/>
        </w:rPr>
        <w:t xml:space="preserve"> "תפעוליות בינית (</w:t>
      </w:r>
      <w:r>
        <w:rPr>
          <w:rStyle w:val="default"/>
          <w:rFonts w:cs="FrankRuehl"/>
          <w:sz w:val="20"/>
        </w:rPr>
        <w:t>Interoperability</w:t>
      </w:r>
      <w:r>
        <w:rPr>
          <w:rStyle w:val="default"/>
          <w:rFonts w:cs="FrankRuehl" w:hint="cs"/>
          <w:sz w:val="20"/>
          <w:rtl/>
        </w:rPr>
        <w:t>) מבוססת פרוטוקול תיחול שיחה (</w:t>
      </w:r>
      <w:r>
        <w:rPr>
          <w:rStyle w:val="default"/>
          <w:rFonts w:cs="FrankRuehl"/>
          <w:sz w:val="20"/>
        </w:rPr>
        <w:t>SIP</w:t>
      </w:r>
      <w:r>
        <w:rPr>
          <w:rStyle w:val="default"/>
          <w:rFonts w:cs="FrankRuehl" w:hint="cs"/>
          <w:sz w:val="20"/>
          <w:rtl/>
        </w:rPr>
        <w:t>) בין מרכזת פרטית לבין ספק שירות.</w:t>
      </w:r>
    </w:p>
    <w:p w14:paraId="18058D68" w14:textId="77777777" w:rsidR="007264C8" w:rsidRDefault="007264C8" w:rsidP="00431CAA">
      <w:pPr>
        <w:pStyle w:val="P00"/>
        <w:spacing w:before="72"/>
        <w:ind w:left="0" w:right="1134"/>
        <w:rPr>
          <w:rStyle w:val="default"/>
          <w:rFonts w:cs="FrankRuehl" w:hint="cs"/>
          <w:rtl/>
        </w:rPr>
      </w:pPr>
    </w:p>
    <w:p w14:paraId="280E87E1" w14:textId="77777777" w:rsidR="00D25D5C" w:rsidRDefault="00D25D5C" w:rsidP="00431CAA">
      <w:pPr>
        <w:pStyle w:val="P00"/>
        <w:spacing w:before="72"/>
        <w:ind w:left="0" w:right="1134"/>
        <w:rPr>
          <w:rStyle w:val="default"/>
          <w:rFonts w:cs="FrankRuehl"/>
          <w:rtl/>
        </w:rPr>
      </w:pPr>
    </w:p>
    <w:p w14:paraId="507F85F3" w14:textId="77777777" w:rsidR="005C17DB" w:rsidRDefault="006B185F" w:rsidP="006B185F">
      <w:pPr>
        <w:pStyle w:val="sig-0"/>
        <w:tabs>
          <w:tab w:val="clear" w:pos="4820"/>
          <w:tab w:val="center" w:pos="5670"/>
        </w:tabs>
        <w:spacing w:before="72"/>
        <w:ind w:left="0" w:right="1134"/>
        <w:rPr>
          <w:rFonts w:cs="FrankRuehl" w:hint="cs"/>
          <w:sz w:val="26"/>
          <w:rtl/>
        </w:rPr>
      </w:pPr>
      <w:r>
        <w:rPr>
          <w:rFonts w:cs="FrankRuehl" w:hint="cs"/>
          <w:sz w:val="26"/>
          <w:rtl/>
        </w:rPr>
        <w:t>ה' באלול התשע"ד (31 באוגוסט 2014</w:t>
      </w:r>
      <w:r w:rsidR="008C2526">
        <w:rPr>
          <w:rFonts w:cs="FrankRuehl" w:hint="cs"/>
          <w:sz w:val="26"/>
          <w:rtl/>
        </w:rPr>
        <w:t>)</w:t>
      </w:r>
      <w:r w:rsidR="008C2526">
        <w:rPr>
          <w:rFonts w:cs="FrankRuehl" w:hint="cs"/>
          <w:sz w:val="26"/>
          <w:rtl/>
        </w:rPr>
        <w:tab/>
      </w:r>
      <w:r>
        <w:rPr>
          <w:rFonts w:cs="FrankRuehl" w:hint="cs"/>
          <w:sz w:val="26"/>
          <w:rtl/>
        </w:rPr>
        <w:t>גלעד ארדן</w:t>
      </w:r>
    </w:p>
    <w:p w14:paraId="4742927E" w14:textId="77777777" w:rsidR="005C17DB" w:rsidRDefault="008C2526" w:rsidP="006B185F">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5513F1">
        <w:rPr>
          <w:rFonts w:cs="FrankRuehl" w:hint="cs"/>
          <w:sz w:val="22"/>
          <w:rtl/>
        </w:rPr>
        <w:t>שר התקשורת</w:t>
      </w:r>
    </w:p>
    <w:p w14:paraId="5FFAD618" w14:textId="77777777" w:rsidR="00927A15" w:rsidRDefault="00927A15" w:rsidP="00927A15">
      <w:pPr>
        <w:pStyle w:val="P00"/>
        <w:spacing w:before="72"/>
        <w:ind w:left="0" w:right="1134"/>
        <w:rPr>
          <w:rStyle w:val="default"/>
          <w:rFonts w:cs="FrankRuehl" w:hint="cs"/>
          <w:rtl/>
        </w:rPr>
      </w:pPr>
    </w:p>
    <w:p w14:paraId="34F44D42" w14:textId="77777777" w:rsidR="00EF7022" w:rsidRDefault="00EF7022" w:rsidP="00927A15">
      <w:pPr>
        <w:pStyle w:val="P00"/>
        <w:spacing w:before="72"/>
        <w:ind w:left="0" w:right="1134"/>
        <w:rPr>
          <w:rStyle w:val="default"/>
          <w:rFonts w:cs="FrankRuehl"/>
          <w:rtl/>
        </w:rPr>
      </w:pPr>
    </w:p>
    <w:p w14:paraId="1B449E18" w14:textId="77777777" w:rsidR="009C6080" w:rsidRDefault="009C6080" w:rsidP="00927A15">
      <w:pPr>
        <w:pStyle w:val="P00"/>
        <w:spacing w:before="72"/>
        <w:ind w:left="0" w:right="1134"/>
        <w:rPr>
          <w:rStyle w:val="default"/>
          <w:rFonts w:cs="FrankRuehl"/>
          <w:rtl/>
        </w:rPr>
      </w:pPr>
    </w:p>
    <w:p w14:paraId="3271AC47" w14:textId="77777777" w:rsidR="009C6080" w:rsidRDefault="009C6080" w:rsidP="009C6080">
      <w:pPr>
        <w:pStyle w:val="P00"/>
        <w:spacing w:before="72"/>
        <w:ind w:left="0" w:right="1134"/>
        <w:jc w:val="center"/>
        <w:rPr>
          <w:rStyle w:val="default"/>
          <w:rFonts w:cs="David"/>
          <w:color w:val="0000FF"/>
          <w:szCs w:val="24"/>
          <w:u w:val="single"/>
          <w:rtl/>
        </w:rPr>
      </w:pPr>
      <w:hyperlink r:id="rId12" w:history="1">
        <w:r>
          <w:rPr>
            <w:rStyle w:val="default"/>
            <w:rFonts w:cs="David"/>
            <w:color w:val="0000FF"/>
            <w:szCs w:val="24"/>
            <w:u w:val="single"/>
            <w:rtl/>
          </w:rPr>
          <w:t>הודעה למנויים על עריכה ושינויים במסמכי פסיקה, חקיקה ועוד באתר נבו - הקש כאן</w:t>
        </w:r>
      </w:hyperlink>
    </w:p>
    <w:p w14:paraId="4DEAE40D" w14:textId="77777777" w:rsidR="009C7AF7" w:rsidRPr="009C6080" w:rsidRDefault="009C7AF7" w:rsidP="009C6080">
      <w:pPr>
        <w:pStyle w:val="P00"/>
        <w:spacing w:before="72"/>
        <w:ind w:left="0" w:right="1134"/>
        <w:jc w:val="center"/>
        <w:rPr>
          <w:rStyle w:val="default"/>
          <w:rFonts w:cs="David"/>
          <w:color w:val="0000FF"/>
          <w:szCs w:val="24"/>
          <w:u w:val="single"/>
          <w:rtl/>
        </w:rPr>
      </w:pPr>
    </w:p>
    <w:sectPr w:rsidR="009C7AF7" w:rsidRPr="009C6080">
      <w:headerReference w:type="even" r:id="rId13"/>
      <w:headerReference w:type="default" r:id="rId14"/>
      <w:footerReference w:type="even" r:id="rId15"/>
      <w:footerReference w:type="default" r:id="rId16"/>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47D90" w14:textId="77777777" w:rsidR="00A44AC8" w:rsidRDefault="00A44AC8">
      <w:r>
        <w:separator/>
      </w:r>
    </w:p>
  </w:endnote>
  <w:endnote w:type="continuationSeparator" w:id="0">
    <w:p w14:paraId="42A05A0D" w14:textId="77777777" w:rsidR="00A44AC8" w:rsidRDefault="00A44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6091D" w14:textId="77777777" w:rsidR="00904EEA" w:rsidRDefault="00904EE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A285595" w14:textId="77777777" w:rsidR="00904EEA" w:rsidRDefault="00904EE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86809DF" w14:textId="77777777" w:rsidR="00904EEA" w:rsidRDefault="00904EE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C6080">
      <w:rPr>
        <w:rFonts w:cs="TopType Jerushalmi"/>
        <w:noProof/>
        <w:color w:val="000000"/>
        <w:sz w:val="14"/>
        <w:szCs w:val="14"/>
      </w:rPr>
      <w:t>Z:\000-law\yael\2014\2014-09-15\tav\501_097.doc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94507" w14:textId="77777777" w:rsidR="00904EEA" w:rsidRDefault="00904EE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24CC7">
      <w:rPr>
        <w:rFonts w:hAnsi="FrankRuehl" w:cs="FrankRuehl"/>
        <w:noProof/>
        <w:sz w:val="24"/>
        <w:szCs w:val="24"/>
        <w:rtl/>
      </w:rPr>
      <w:t>3</w:t>
    </w:r>
    <w:r>
      <w:rPr>
        <w:rFonts w:hAnsi="FrankRuehl" w:cs="FrankRuehl"/>
        <w:sz w:val="24"/>
        <w:szCs w:val="24"/>
        <w:rtl/>
      </w:rPr>
      <w:fldChar w:fldCharType="end"/>
    </w:r>
  </w:p>
  <w:p w14:paraId="7209F8A7" w14:textId="77777777" w:rsidR="00904EEA" w:rsidRDefault="00904EE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3951A14" w14:textId="77777777" w:rsidR="00904EEA" w:rsidRDefault="00904EE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C6080">
      <w:rPr>
        <w:rFonts w:cs="TopType Jerushalmi"/>
        <w:noProof/>
        <w:color w:val="000000"/>
        <w:sz w:val="14"/>
        <w:szCs w:val="14"/>
      </w:rPr>
      <w:t>Z:\000-law\yael\2014\2014-09-15\tav\501_097.doc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E8822" w14:textId="77777777" w:rsidR="00A44AC8" w:rsidRDefault="00A44AC8">
      <w:pPr>
        <w:spacing w:before="60"/>
        <w:ind w:right="1134"/>
      </w:pPr>
      <w:r>
        <w:separator/>
      </w:r>
    </w:p>
  </w:footnote>
  <w:footnote w:type="continuationSeparator" w:id="0">
    <w:p w14:paraId="67AB0A07" w14:textId="77777777" w:rsidR="00A44AC8" w:rsidRDefault="00A44AC8">
      <w:pPr>
        <w:spacing w:before="60"/>
        <w:ind w:right="1134"/>
      </w:pPr>
      <w:r>
        <w:separator/>
      </w:r>
    </w:p>
  </w:footnote>
  <w:footnote w:id="1">
    <w:p w14:paraId="69346ADE" w14:textId="77777777" w:rsidR="00A96559" w:rsidRDefault="00904EEA" w:rsidP="00A9655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sidR="008C2526">
        <w:rPr>
          <w:rFonts w:cs="FrankRuehl" w:hint="cs"/>
          <w:rtl/>
        </w:rPr>
        <w:t>פורס</w:t>
      </w:r>
      <w:r w:rsidR="0011648D">
        <w:rPr>
          <w:rFonts w:cs="FrankRuehl" w:hint="cs"/>
          <w:rtl/>
        </w:rPr>
        <w:t>ם</w:t>
      </w:r>
      <w:r w:rsidR="008C2526">
        <w:rPr>
          <w:rFonts w:cs="FrankRuehl" w:hint="cs"/>
          <w:rtl/>
        </w:rPr>
        <w:t xml:space="preserve"> </w:t>
      </w:r>
      <w:hyperlink r:id="rId1" w:history="1">
        <w:r w:rsidR="008C2526" w:rsidRPr="00A96559">
          <w:rPr>
            <w:rStyle w:val="Hyperlink"/>
            <w:rFonts w:cs="FrankRuehl" w:hint="cs"/>
            <w:rtl/>
          </w:rPr>
          <w:t>ק"ת תש</w:t>
        </w:r>
        <w:r w:rsidR="0075069C" w:rsidRPr="00A96559">
          <w:rPr>
            <w:rStyle w:val="Hyperlink"/>
            <w:rFonts w:cs="FrankRuehl" w:hint="cs"/>
            <w:rtl/>
          </w:rPr>
          <w:t>ע</w:t>
        </w:r>
        <w:r w:rsidR="0027553D" w:rsidRPr="00A96559">
          <w:rPr>
            <w:rStyle w:val="Hyperlink"/>
            <w:rFonts w:cs="FrankRuehl" w:hint="cs"/>
            <w:rtl/>
          </w:rPr>
          <w:t>"</w:t>
        </w:r>
        <w:r w:rsidR="007264C8" w:rsidRPr="00A96559">
          <w:rPr>
            <w:rStyle w:val="Hyperlink"/>
            <w:rFonts w:cs="FrankRuehl" w:hint="cs"/>
            <w:rtl/>
          </w:rPr>
          <w:t>ד</w:t>
        </w:r>
        <w:r w:rsidR="008C2526" w:rsidRPr="00A96559">
          <w:rPr>
            <w:rStyle w:val="Hyperlink"/>
            <w:rFonts w:cs="FrankRuehl" w:hint="cs"/>
            <w:rtl/>
          </w:rPr>
          <w:t xml:space="preserve"> מס' </w:t>
        </w:r>
        <w:r w:rsidR="007264C8" w:rsidRPr="00A96559">
          <w:rPr>
            <w:rStyle w:val="Hyperlink"/>
            <w:rFonts w:cs="FrankRuehl" w:hint="cs"/>
            <w:rtl/>
          </w:rPr>
          <w:t>7423</w:t>
        </w:r>
      </w:hyperlink>
      <w:r w:rsidR="008C2526">
        <w:rPr>
          <w:rFonts w:cs="FrankRuehl" w:hint="cs"/>
          <w:rtl/>
        </w:rPr>
        <w:t xml:space="preserve"> מיום </w:t>
      </w:r>
      <w:r w:rsidR="007264C8">
        <w:rPr>
          <w:rFonts w:cs="FrankRuehl" w:hint="cs"/>
          <w:rtl/>
        </w:rPr>
        <w:t>11.9.2014</w:t>
      </w:r>
      <w:r w:rsidR="008C2526">
        <w:rPr>
          <w:rFonts w:cs="FrankRuehl" w:hint="cs"/>
          <w:rtl/>
        </w:rPr>
        <w:t xml:space="preserve"> עמ' </w:t>
      </w:r>
      <w:r w:rsidR="007264C8">
        <w:rPr>
          <w:rFonts w:cs="FrankRuehl" w:hint="cs"/>
          <w:rtl/>
        </w:rPr>
        <w:t>1765</w:t>
      </w:r>
      <w:r w:rsidR="008C2526">
        <w:rPr>
          <w:rFonts w:cs="FrankRuehl" w:hint="cs"/>
          <w:rtl/>
        </w:rPr>
        <w:t>.</w:t>
      </w:r>
    </w:p>
    <w:p w14:paraId="1AF4B459" w14:textId="77777777" w:rsidR="00F24CC7" w:rsidRDefault="00942E80" w:rsidP="00F24C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תוקן </w:t>
      </w:r>
      <w:hyperlink r:id="rId2" w:history="1">
        <w:r w:rsidRPr="00F24CC7">
          <w:rPr>
            <w:rStyle w:val="Hyperlink"/>
            <w:rFonts w:cs="FrankRuehl" w:hint="cs"/>
            <w:rtl/>
          </w:rPr>
          <w:t>י"פ תשע"ו מס' 7186</w:t>
        </w:r>
      </w:hyperlink>
      <w:r>
        <w:rPr>
          <w:rFonts w:cs="FrankRuehl" w:hint="cs"/>
          <w:rtl/>
        </w:rPr>
        <w:t xml:space="preserve"> מיום 14.1.2016 עמ' 2688 </w:t>
      </w:r>
      <w:r>
        <w:rPr>
          <w:rFonts w:cs="FrankRuehl"/>
          <w:rtl/>
        </w:rPr>
        <w:t>–</w:t>
      </w:r>
      <w:r>
        <w:rPr>
          <w:rFonts w:cs="FrankRuehl" w:hint="cs"/>
          <w:rtl/>
        </w:rPr>
        <w:t xml:space="preserve"> הודעה תשע"ו-2016; תחילתה ביום 3.4.2016.</w:t>
      </w:r>
    </w:p>
  </w:footnote>
  <w:footnote w:id="2">
    <w:p w14:paraId="38B76AD0" w14:textId="77777777" w:rsidR="007C4D2C" w:rsidRDefault="007C4D2C" w:rsidP="007C4D2C">
      <w:pPr>
        <w:pStyle w:val="a5"/>
        <w:spacing w:before="72"/>
        <w:ind w:right="1134"/>
        <w:jc w:val="both"/>
        <w:rPr>
          <w:rFonts w:hint="cs"/>
          <w:rtl/>
        </w:rPr>
      </w:pPr>
      <w:r>
        <w:rPr>
          <w:rStyle w:val="a6"/>
        </w:rPr>
        <w:footnoteRef/>
      </w:r>
      <w:r w:rsidRPr="007C4D2C">
        <w:rPr>
          <w:rFonts w:ascii="FrankRuehl" w:hAnsi="FrankRuehl" w:cs="FrankRuehl"/>
          <w:sz w:val="22"/>
          <w:szCs w:val="22"/>
          <w:rtl/>
        </w:rPr>
        <w:t xml:space="preserve"> ר' </w:t>
      </w:r>
      <w:hyperlink r:id="rId3" w:history="1">
        <w:r w:rsidRPr="007C4D2C">
          <w:rPr>
            <w:rStyle w:val="Hyperlink"/>
            <w:rFonts w:ascii="FrankRuehl" w:hAnsi="FrankRuehl" w:cs="FrankRuehl" w:hint="cs"/>
            <w:sz w:val="22"/>
            <w:szCs w:val="22"/>
            <w:rtl/>
          </w:rPr>
          <w:t>י"פ תשע"ט מס' 8176</w:t>
        </w:r>
      </w:hyperlink>
      <w:r w:rsidRPr="007C4D2C">
        <w:rPr>
          <w:rFonts w:ascii="FrankRuehl" w:hAnsi="FrankRuehl" w:cs="FrankRuehl"/>
          <w:sz w:val="22"/>
          <w:szCs w:val="22"/>
          <w:rtl/>
        </w:rPr>
        <w:t xml:space="preserve"> מיום 31.3.2019 עמ' 9270.</w:t>
      </w:r>
    </w:p>
  </w:footnote>
  <w:footnote w:id="3">
    <w:p w14:paraId="6F89750B" w14:textId="77777777" w:rsidR="001E5900" w:rsidRPr="001E5900" w:rsidRDefault="001E5900" w:rsidP="00AE792C">
      <w:pPr>
        <w:pStyle w:val="a5"/>
        <w:spacing w:before="72"/>
        <w:ind w:right="1134"/>
        <w:jc w:val="both"/>
        <w:rPr>
          <w:rtl/>
        </w:rPr>
      </w:pPr>
      <w:r>
        <w:rPr>
          <w:rStyle w:val="a6"/>
        </w:rPr>
        <w:footnoteRef/>
      </w:r>
      <w:r w:rsidRPr="001E5900">
        <w:rPr>
          <w:rFonts w:cs="FrankRuehl"/>
          <w:sz w:val="18"/>
          <w:szCs w:val="22"/>
          <w:rtl/>
        </w:rPr>
        <w:t xml:space="preserve"> </w:t>
      </w:r>
      <w:r w:rsidRPr="001E5900">
        <w:rPr>
          <w:rFonts w:cs="FrankRuehl"/>
          <w:sz w:val="18"/>
          <w:szCs w:val="22"/>
        </w:rPr>
        <w:t>http://www.comlaw.gov.au/Details/F2011L00672</w:t>
      </w:r>
      <w:r w:rsidRPr="001E5900">
        <w:rPr>
          <w:rFonts w:cs="FrankRuehl" w:hint="cs"/>
          <w:sz w:val="18"/>
          <w:szCs w:val="22"/>
          <w:rtl/>
        </w:rPr>
        <w:t>.</w:t>
      </w:r>
    </w:p>
  </w:footnote>
  <w:footnote w:id="4">
    <w:p w14:paraId="075C0BC7" w14:textId="77777777" w:rsidR="00C85DDF" w:rsidRDefault="00AE792C" w:rsidP="00C85DDF">
      <w:pPr>
        <w:pStyle w:val="a5"/>
        <w:spacing w:before="72"/>
        <w:ind w:right="1134"/>
        <w:jc w:val="both"/>
        <w:rPr>
          <w:rFonts w:cs="FrankRuehl"/>
          <w:sz w:val="18"/>
          <w:szCs w:val="22"/>
        </w:rPr>
      </w:pPr>
      <w:r>
        <w:rPr>
          <w:rStyle w:val="a6"/>
        </w:rPr>
        <w:footnoteRef/>
      </w:r>
      <w:r w:rsidRPr="00AE792C">
        <w:rPr>
          <w:rFonts w:cs="FrankRuehl"/>
          <w:sz w:val="18"/>
          <w:szCs w:val="22"/>
          <w:rtl/>
        </w:rPr>
        <w:t xml:space="preserve"> </w:t>
      </w:r>
      <w:r w:rsidR="00C85DDF" w:rsidRPr="00C85DDF">
        <w:rPr>
          <w:rFonts w:cs="FrankRuehl"/>
          <w:sz w:val="18"/>
          <w:szCs w:val="22"/>
        </w:rPr>
        <w:t>http://global.ihs.com/doc_detail.cfm?currency_code=USD&amp;customer_id=21254E2C380A&amp;osh</w:t>
      </w:r>
    </w:p>
    <w:p w14:paraId="713C909B" w14:textId="77777777" w:rsidR="00AE792C" w:rsidRPr="00AE792C" w:rsidRDefault="00AE792C" w:rsidP="00C85DDF">
      <w:pPr>
        <w:pStyle w:val="a5"/>
        <w:ind w:right="1134"/>
        <w:jc w:val="both"/>
        <w:rPr>
          <w:rFonts w:hint="cs"/>
          <w:rtl/>
        </w:rPr>
      </w:pPr>
      <w:r w:rsidRPr="00AE792C">
        <w:rPr>
          <w:rFonts w:cs="FrankRuehl"/>
          <w:sz w:val="18"/>
          <w:szCs w:val="22"/>
        </w:rPr>
        <w:t>id=21254E2C370A&amp;shopping_cart_id=21254E2C320A&amp;rid=TIA&amp;country_code=US&amp;lang_code=ENGL&amp;item_s_key=00380867&amp;item_key_date=910931&amp;origin=ACTA</w:t>
      </w:r>
      <w:r w:rsidRPr="00AE792C">
        <w:rPr>
          <w:rFonts w:cs="FrankRuehl" w:hint="cs"/>
          <w:sz w:val="18"/>
          <w:szCs w:val="22"/>
          <w:rtl/>
        </w:rPr>
        <w:t>.</w:t>
      </w:r>
    </w:p>
  </w:footnote>
  <w:footnote w:id="5">
    <w:p w14:paraId="3B8476CE" w14:textId="77777777" w:rsidR="00C85DDF" w:rsidRPr="00C85DDF" w:rsidRDefault="00C85DDF" w:rsidP="00C85DDF">
      <w:pPr>
        <w:pStyle w:val="a5"/>
        <w:spacing w:before="72"/>
        <w:ind w:right="1134"/>
        <w:jc w:val="both"/>
        <w:rPr>
          <w:rtl/>
        </w:rPr>
      </w:pPr>
      <w:r>
        <w:rPr>
          <w:rStyle w:val="a6"/>
        </w:rPr>
        <w:footnoteRef/>
      </w:r>
      <w:r w:rsidRPr="00C85DDF">
        <w:rPr>
          <w:rFonts w:cs="FrankRuehl"/>
          <w:sz w:val="18"/>
          <w:szCs w:val="22"/>
          <w:rtl/>
        </w:rPr>
        <w:t xml:space="preserve"> </w:t>
      </w:r>
      <w:r w:rsidRPr="00C85DDF">
        <w:rPr>
          <w:rFonts w:cs="FrankRuehl"/>
          <w:sz w:val="18"/>
          <w:szCs w:val="22"/>
        </w:rPr>
        <w:t>http://www.tscm.com/FCC47CFRpart68.pdf</w:t>
      </w:r>
      <w:r w:rsidRPr="00C85DDF">
        <w:rPr>
          <w:rFonts w:cs="FrankRuehl" w:hint="cs"/>
          <w:sz w:val="18"/>
          <w:szCs w:val="22"/>
          <w:rtl/>
        </w:rPr>
        <w:t>.</w:t>
      </w:r>
    </w:p>
  </w:footnote>
  <w:footnote w:id="6">
    <w:p w14:paraId="63CE9746" w14:textId="77777777" w:rsidR="00C85DDF" w:rsidRPr="00C85DDF" w:rsidRDefault="00C85DDF" w:rsidP="00C85DDF">
      <w:pPr>
        <w:pStyle w:val="a5"/>
        <w:spacing w:before="72"/>
        <w:ind w:right="1134"/>
        <w:jc w:val="both"/>
        <w:rPr>
          <w:rFonts w:hint="cs"/>
          <w:rtl/>
        </w:rPr>
      </w:pPr>
      <w:r>
        <w:rPr>
          <w:rStyle w:val="a6"/>
        </w:rPr>
        <w:footnoteRef/>
      </w:r>
      <w:r w:rsidRPr="00C85DDF">
        <w:rPr>
          <w:rFonts w:cs="FrankRuehl"/>
          <w:sz w:val="18"/>
          <w:szCs w:val="22"/>
          <w:rtl/>
        </w:rPr>
        <w:t xml:space="preserve"> </w:t>
      </w:r>
      <w:r w:rsidRPr="00C85DDF">
        <w:rPr>
          <w:rFonts w:cs="FrankRuehl"/>
          <w:sz w:val="18"/>
          <w:szCs w:val="22"/>
        </w:rPr>
        <w:t>http://www.comlaw.gov.au/Details/F2011L00672</w:t>
      </w:r>
      <w:r w:rsidRPr="00C85DDF">
        <w:rPr>
          <w:rFonts w:cs="FrankRuehl" w:hint="cs"/>
          <w:sz w:val="18"/>
          <w:szCs w:val="22"/>
          <w:rtl/>
        </w:rPr>
        <w:t>.</w:t>
      </w:r>
    </w:p>
  </w:footnote>
  <w:footnote w:id="7">
    <w:p w14:paraId="078E3B7D" w14:textId="77777777" w:rsidR="00C85DDF" w:rsidRPr="00C85DDF" w:rsidRDefault="00C85DDF" w:rsidP="00C85DDF">
      <w:pPr>
        <w:pStyle w:val="a5"/>
        <w:spacing w:before="72"/>
        <w:ind w:right="1134"/>
        <w:jc w:val="both"/>
        <w:rPr>
          <w:rFonts w:hint="cs"/>
          <w:rtl/>
        </w:rPr>
      </w:pPr>
      <w:r>
        <w:rPr>
          <w:rStyle w:val="a6"/>
        </w:rPr>
        <w:footnoteRef/>
      </w:r>
      <w:r w:rsidRPr="00C85DDF">
        <w:rPr>
          <w:rFonts w:cs="FrankRuehl"/>
          <w:sz w:val="18"/>
          <w:szCs w:val="22"/>
          <w:rtl/>
        </w:rPr>
        <w:t xml:space="preserve"> </w:t>
      </w:r>
      <w:r w:rsidRPr="00C85DDF">
        <w:rPr>
          <w:rFonts w:cs="FrankRuehl"/>
          <w:sz w:val="18"/>
          <w:szCs w:val="22"/>
        </w:rPr>
        <w:t>http://www.etsi.org/deliver/etsi_tbr/001_099/021/01_60/tbr_021e01p.pdf</w:t>
      </w:r>
      <w:r w:rsidRPr="00C85DDF">
        <w:rPr>
          <w:rFonts w:cs="FrankRuehl" w:hint="cs"/>
          <w:sz w:val="18"/>
          <w:szCs w:val="22"/>
          <w:rtl/>
        </w:rPr>
        <w:t>.</w:t>
      </w:r>
    </w:p>
  </w:footnote>
  <w:footnote w:id="8">
    <w:p w14:paraId="768CE2D4" w14:textId="77777777" w:rsidR="00C85DDF" w:rsidRPr="00C85DDF" w:rsidRDefault="00C85DDF" w:rsidP="00C85DDF">
      <w:pPr>
        <w:pStyle w:val="a5"/>
        <w:spacing w:before="72"/>
        <w:ind w:right="1134"/>
        <w:jc w:val="both"/>
        <w:rPr>
          <w:rFonts w:hint="cs"/>
          <w:rtl/>
        </w:rPr>
      </w:pPr>
      <w:r>
        <w:rPr>
          <w:rStyle w:val="a6"/>
        </w:rPr>
        <w:footnoteRef/>
      </w:r>
      <w:r w:rsidRPr="00C85DDF">
        <w:rPr>
          <w:rFonts w:cs="FrankRuehl"/>
          <w:sz w:val="18"/>
          <w:szCs w:val="22"/>
          <w:rtl/>
        </w:rPr>
        <w:t xml:space="preserve"> </w:t>
      </w:r>
      <w:r w:rsidRPr="00C85DDF">
        <w:rPr>
          <w:rFonts w:cs="FrankRuehl"/>
          <w:sz w:val="18"/>
          <w:szCs w:val="22"/>
        </w:rPr>
        <w:t>http://www.ic.gc.ca/eic/site/smt-gst.nsf/eng/sf08266.html</w:t>
      </w:r>
      <w:r w:rsidRPr="00C85DDF">
        <w:rPr>
          <w:rFonts w:cs="FrankRuehl" w:hint="cs"/>
          <w:sz w:val="18"/>
          <w:szCs w:val="22"/>
          <w:rtl/>
        </w:rPr>
        <w:t>.</w:t>
      </w:r>
    </w:p>
  </w:footnote>
  <w:footnote w:id="9">
    <w:p w14:paraId="15E6D69B" w14:textId="77777777" w:rsidR="00C85DDF" w:rsidRPr="00C85DDF" w:rsidRDefault="00C85DDF" w:rsidP="00C85DDF">
      <w:pPr>
        <w:pStyle w:val="a5"/>
        <w:spacing w:before="72"/>
        <w:ind w:right="1134"/>
        <w:jc w:val="both"/>
        <w:rPr>
          <w:rFonts w:hint="cs"/>
          <w:rtl/>
        </w:rPr>
      </w:pPr>
      <w:r>
        <w:rPr>
          <w:rStyle w:val="a6"/>
        </w:rPr>
        <w:footnoteRef/>
      </w:r>
      <w:r>
        <w:rPr>
          <w:rtl/>
        </w:rPr>
        <w:t xml:space="preserve"> </w:t>
      </w:r>
      <w:r w:rsidRPr="00C85DDF">
        <w:rPr>
          <w:rFonts w:cs="FrankRuehl"/>
          <w:sz w:val="18"/>
          <w:szCs w:val="22"/>
        </w:rPr>
        <w:t>http://www.ic.gc.ca/eic/site/smt-gst.nsf/eng/sf0</w:t>
      </w:r>
      <w:r>
        <w:rPr>
          <w:rFonts w:cs="FrankRuehl"/>
          <w:sz w:val="18"/>
          <w:szCs w:val="22"/>
        </w:rPr>
        <w:t>5610</w:t>
      </w:r>
      <w:r w:rsidRPr="00C85DDF">
        <w:rPr>
          <w:rFonts w:cs="FrankRuehl"/>
          <w:sz w:val="18"/>
          <w:szCs w:val="22"/>
        </w:rPr>
        <w:t>.html</w:t>
      </w:r>
      <w:r>
        <w:rPr>
          <w:rFonts w:cs="FrankRuehl" w:hint="cs"/>
          <w:sz w:val="18"/>
          <w:szCs w:val="22"/>
          <w:rtl/>
        </w:rPr>
        <w:t>.</w:t>
      </w:r>
    </w:p>
  </w:footnote>
  <w:footnote w:id="10">
    <w:p w14:paraId="53C3A7E3" w14:textId="77777777" w:rsidR="00603266" w:rsidRPr="00603266" w:rsidRDefault="00603266" w:rsidP="00603266">
      <w:pPr>
        <w:pStyle w:val="a5"/>
        <w:spacing w:before="72"/>
        <w:ind w:right="1134"/>
        <w:jc w:val="both"/>
        <w:rPr>
          <w:rFonts w:hint="cs"/>
          <w:rtl/>
        </w:rPr>
      </w:pPr>
      <w:r>
        <w:rPr>
          <w:rStyle w:val="a6"/>
        </w:rPr>
        <w:footnoteRef/>
      </w:r>
      <w:r w:rsidRPr="00603266">
        <w:rPr>
          <w:rFonts w:cs="FrankRuehl"/>
          <w:sz w:val="18"/>
          <w:szCs w:val="22"/>
          <w:rtl/>
        </w:rPr>
        <w:t xml:space="preserve"> </w:t>
      </w:r>
      <w:r w:rsidRPr="00603266">
        <w:rPr>
          <w:rFonts w:cs="FrankRuehl"/>
          <w:sz w:val="18"/>
          <w:szCs w:val="22"/>
        </w:rPr>
        <w:t>http://www.comlaw.gov.au/Details/F2011L00672</w:t>
      </w:r>
      <w:r w:rsidRPr="00603266">
        <w:rPr>
          <w:rFonts w:cs="FrankRuehl" w:hint="cs"/>
          <w:sz w:val="18"/>
          <w:szCs w:val="22"/>
          <w:rtl/>
        </w:rPr>
        <w:t>.</w:t>
      </w:r>
    </w:p>
  </w:footnote>
  <w:footnote w:id="11">
    <w:p w14:paraId="140C966B" w14:textId="77777777" w:rsidR="00603266" w:rsidRPr="00603266" w:rsidRDefault="00603266" w:rsidP="00603266">
      <w:pPr>
        <w:pStyle w:val="a5"/>
        <w:spacing w:before="72"/>
        <w:ind w:right="1134"/>
        <w:jc w:val="both"/>
        <w:rPr>
          <w:rtl/>
        </w:rPr>
      </w:pPr>
      <w:r>
        <w:rPr>
          <w:rStyle w:val="a6"/>
        </w:rPr>
        <w:footnoteRef/>
      </w:r>
      <w:r w:rsidRPr="00603266">
        <w:rPr>
          <w:rFonts w:cs="FrankRuehl"/>
          <w:sz w:val="18"/>
          <w:szCs w:val="22"/>
          <w:rtl/>
        </w:rPr>
        <w:t xml:space="preserve"> </w:t>
      </w:r>
      <w:r w:rsidRPr="00603266">
        <w:rPr>
          <w:rFonts w:cs="FrankRuehl"/>
          <w:sz w:val="18"/>
          <w:szCs w:val="22"/>
        </w:rPr>
        <w:t>http://www.acma.gov.au/WEB/STANDARD/pc=PC_2796</w:t>
      </w:r>
      <w:r w:rsidRPr="00603266">
        <w:rPr>
          <w:rFonts w:cs="FrankRuehl" w:hint="cs"/>
          <w:sz w:val="18"/>
          <w:szCs w:val="22"/>
          <w:rtl/>
        </w:rPr>
        <w:t>.</w:t>
      </w:r>
    </w:p>
  </w:footnote>
  <w:footnote w:id="12">
    <w:p w14:paraId="41F35060" w14:textId="77777777" w:rsidR="00582089" w:rsidRPr="00582089" w:rsidRDefault="00582089" w:rsidP="00582089">
      <w:pPr>
        <w:pStyle w:val="a5"/>
        <w:spacing w:before="72"/>
        <w:ind w:right="1134"/>
        <w:jc w:val="both"/>
        <w:rPr>
          <w:rFonts w:hint="cs"/>
          <w:rtl/>
        </w:rPr>
      </w:pPr>
      <w:r>
        <w:rPr>
          <w:rStyle w:val="a6"/>
        </w:rPr>
        <w:footnoteRef/>
      </w:r>
      <w:r w:rsidRPr="00582089">
        <w:rPr>
          <w:rFonts w:cs="FrankRuehl"/>
          <w:sz w:val="18"/>
          <w:szCs w:val="22"/>
          <w:rtl/>
        </w:rPr>
        <w:t xml:space="preserve"> </w:t>
      </w:r>
      <w:r w:rsidRPr="00582089">
        <w:rPr>
          <w:rFonts w:cs="FrankRuehl"/>
          <w:sz w:val="18"/>
          <w:szCs w:val="22"/>
        </w:rPr>
        <w:t>www.itu.int/ITU-T/recommendations/index.aspx?ser=G</w:t>
      </w:r>
      <w:r w:rsidRPr="00582089">
        <w:rPr>
          <w:rFonts w:cs="FrankRuehl" w:hint="cs"/>
          <w:sz w:val="18"/>
          <w:szCs w:val="22"/>
          <w:rtl/>
        </w:rPr>
        <w:t>.</w:t>
      </w:r>
    </w:p>
  </w:footnote>
  <w:footnote w:id="13">
    <w:p w14:paraId="2E5F53FC" w14:textId="77777777" w:rsidR="00582089" w:rsidRPr="00582089" w:rsidRDefault="00582089" w:rsidP="00582089">
      <w:pPr>
        <w:pStyle w:val="a5"/>
        <w:spacing w:before="72"/>
        <w:ind w:right="1134"/>
        <w:jc w:val="both"/>
        <w:rPr>
          <w:rFonts w:hint="cs"/>
          <w:rtl/>
        </w:rPr>
      </w:pPr>
      <w:r>
        <w:rPr>
          <w:rStyle w:val="a6"/>
        </w:rPr>
        <w:footnoteRef/>
      </w:r>
      <w:r w:rsidRPr="00582089">
        <w:rPr>
          <w:rFonts w:cs="FrankRuehl"/>
          <w:sz w:val="18"/>
          <w:szCs w:val="22"/>
          <w:rtl/>
        </w:rPr>
        <w:t xml:space="preserve"> </w:t>
      </w:r>
      <w:r w:rsidRPr="00582089">
        <w:rPr>
          <w:rFonts w:cs="FrankRuehl"/>
          <w:sz w:val="18"/>
          <w:szCs w:val="22"/>
        </w:rPr>
        <w:t>http://www.cablelabs.com/cablemodem/specifications/specifications30.html</w:t>
      </w:r>
      <w:r w:rsidRPr="00582089">
        <w:rPr>
          <w:rFonts w:cs="FrankRuehl" w:hint="cs"/>
          <w:sz w:val="18"/>
          <w:szCs w:val="22"/>
          <w:rtl/>
        </w:rPr>
        <w:t>.</w:t>
      </w:r>
    </w:p>
  </w:footnote>
  <w:footnote w:id="14">
    <w:p w14:paraId="1A25AD9C" w14:textId="77777777" w:rsidR="00582089" w:rsidRPr="00582089" w:rsidRDefault="00582089" w:rsidP="00582089">
      <w:pPr>
        <w:pStyle w:val="a5"/>
        <w:spacing w:before="72"/>
        <w:ind w:right="1134"/>
        <w:jc w:val="both"/>
        <w:rPr>
          <w:rtl/>
        </w:rPr>
      </w:pPr>
      <w:r>
        <w:rPr>
          <w:rStyle w:val="a6"/>
        </w:rPr>
        <w:footnoteRef/>
      </w:r>
      <w:r w:rsidRPr="00582089">
        <w:rPr>
          <w:rFonts w:cs="FrankRuehl"/>
          <w:sz w:val="18"/>
          <w:szCs w:val="22"/>
          <w:rtl/>
        </w:rPr>
        <w:t xml:space="preserve"> </w:t>
      </w:r>
      <w:r w:rsidRPr="00582089">
        <w:rPr>
          <w:rFonts w:cs="FrankRuehl"/>
          <w:sz w:val="18"/>
          <w:szCs w:val="22"/>
        </w:rPr>
        <w:t>http://www.etsi.org/deliver/etsi_tbr/001_099/003/01_60/tbr_003e01p.pdf</w:t>
      </w:r>
      <w:r w:rsidRPr="00582089">
        <w:rPr>
          <w:rFonts w:cs="FrankRuehl" w:hint="cs"/>
          <w:sz w:val="18"/>
          <w:szCs w:val="22"/>
          <w:rtl/>
        </w:rPr>
        <w:t>.</w:t>
      </w:r>
    </w:p>
  </w:footnote>
  <w:footnote w:id="15">
    <w:p w14:paraId="328202F4" w14:textId="77777777" w:rsidR="00621FC6" w:rsidRPr="00582089" w:rsidRDefault="00621FC6" w:rsidP="00621FC6">
      <w:pPr>
        <w:pStyle w:val="a5"/>
        <w:spacing w:before="72"/>
        <w:ind w:right="1134"/>
        <w:jc w:val="both"/>
        <w:rPr>
          <w:rtl/>
        </w:rPr>
      </w:pPr>
      <w:r>
        <w:rPr>
          <w:rStyle w:val="a6"/>
        </w:rPr>
        <w:footnoteRef/>
      </w:r>
      <w:r w:rsidRPr="00582089">
        <w:rPr>
          <w:rFonts w:cs="FrankRuehl"/>
          <w:sz w:val="18"/>
          <w:szCs w:val="22"/>
          <w:rtl/>
        </w:rPr>
        <w:t xml:space="preserve"> </w:t>
      </w:r>
      <w:r w:rsidRPr="00582089">
        <w:rPr>
          <w:rFonts w:cs="FrankRuehl"/>
          <w:sz w:val="18"/>
          <w:szCs w:val="22"/>
        </w:rPr>
        <w:t>http://www.etsi.org/deliver/etsi_tbr/001_099/003/01_60/tbr_003e01p.pdf</w:t>
      </w:r>
      <w:r w:rsidRPr="00582089">
        <w:rPr>
          <w:rFonts w:cs="FrankRuehl" w:hint="cs"/>
          <w:sz w:val="18"/>
          <w:szCs w:val="22"/>
          <w:rtl/>
        </w:rPr>
        <w:t>.</w:t>
      </w:r>
    </w:p>
  </w:footnote>
  <w:footnote w:id="16">
    <w:p w14:paraId="40B816D8" w14:textId="77777777" w:rsidR="00582089" w:rsidRPr="00582089" w:rsidRDefault="00582089" w:rsidP="00582089">
      <w:pPr>
        <w:pStyle w:val="a5"/>
        <w:spacing w:before="72"/>
        <w:ind w:right="1134"/>
        <w:jc w:val="both"/>
        <w:rPr>
          <w:rtl/>
        </w:rPr>
      </w:pPr>
      <w:r>
        <w:rPr>
          <w:rStyle w:val="a6"/>
        </w:rPr>
        <w:footnoteRef/>
      </w:r>
      <w:r w:rsidRPr="00582089">
        <w:rPr>
          <w:rFonts w:cs="FrankRuehl"/>
          <w:sz w:val="18"/>
          <w:szCs w:val="22"/>
          <w:rtl/>
        </w:rPr>
        <w:t xml:space="preserve"> </w:t>
      </w:r>
      <w:r w:rsidRPr="00582089">
        <w:rPr>
          <w:rFonts w:cs="FrankRuehl"/>
          <w:sz w:val="18"/>
          <w:szCs w:val="22"/>
        </w:rPr>
        <w:t>http://www.etsi.org/deliver/etsi_tbr/001_099/004/01_30_82/tbr_004e01c.pdf</w:t>
      </w:r>
      <w:r w:rsidRPr="00582089">
        <w:rPr>
          <w:rFonts w:cs="FrankRuehl" w:hint="cs"/>
          <w:sz w:val="18"/>
          <w:szCs w:val="22"/>
          <w:rtl/>
        </w:rPr>
        <w:t>.</w:t>
      </w:r>
    </w:p>
  </w:footnote>
  <w:footnote w:id="17">
    <w:p w14:paraId="71512BE4" w14:textId="77777777" w:rsidR="00621FC6" w:rsidRPr="00582089" w:rsidRDefault="00621FC6" w:rsidP="00621FC6">
      <w:pPr>
        <w:pStyle w:val="a5"/>
        <w:spacing w:before="72"/>
        <w:ind w:right="1134"/>
        <w:jc w:val="both"/>
        <w:rPr>
          <w:rtl/>
        </w:rPr>
      </w:pPr>
      <w:r>
        <w:rPr>
          <w:rStyle w:val="a6"/>
        </w:rPr>
        <w:footnoteRef/>
      </w:r>
      <w:r w:rsidRPr="00582089">
        <w:rPr>
          <w:rFonts w:cs="FrankRuehl"/>
          <w:sz w:val="18"/>
          <w:szCs w:val="22"/>
          <w:rtl/>
        </w:rPr>
        <w:t xml:space="preserve"> </w:t>
      </w:r>
      <w:r w:rsidRPr="00582089">
        <w:rPr>
          <w:rFonts w:cs="FrankRuehl"/>
          <w:sz w:val="18"/>
          <w:szCs w:val="22"/>
        </w:rPr>
        <w:t>http://www.etsi.org/deliver/etsi_tbr/001_099/004/01_30_82/tbr_004e01c.pdf</w:t>
      </w:r>
      <w:r w:rsidRPr="00582089">
        <w:rPr>
          <w:rFonts w:cs="FrankRuehl" w:hint="cs"/>
          <w:sz w:val="18"/>
          <w:szCs w:val="22"/>
          <w:rtl/>
        </w:rPr>
        <w:t>.</w:t>
      </w:r>
    </w:p>
  </w:footnote>
  <w:footnote w:id="18">
    <w:p w14:paraId="520DB859" w14:textId="77777777" w:rsidR="006B185F" w:rsidRPr="006B185F" w:rsidRDefault="006B185F" w:rsidP="006B185F">
      <w:pPr>
        <w:pStyle w:val="a5"/>
        <w:spacing w:before="72"/>
        <w:ind w:right="1134"/>
        <w:jc w:val="both"/>
        <w:rPr>
          <w:rtl/>
        </w:rPr>
      </w:pPr>
      <w:r>
        <w:rPr>
          <w:rStyle w:val="a6"/>
        </w:rPr>
        <w:footnoteRef/>
      </w:r>
      <w:r w:rsidRPr="006B185F">
        <w:rPr>
          <w:rFonts w:cs="FrankRuehl"/>
          <w:sz w:val="18"/>
          <w:szCs w:val="22"/>
          <w:rtl/>
        </w:rPr>
        <w:t xml:space="preserve"> </w:t>
      </w:r>
      <w:r w:rsidRPr="006B185F">
        <w:rPr>
          <w:rFonts w:cs="FrankRuehl"/>
          <w:sz w:val="18"/>
          <w:szCs w:val="22"/>
        </w:rPr>
        <w:t>http://www.sipforum.org/content/view/289/246/</w:t>
      </w:r>
      <w:r w:rsidRPr="006B185F">
        <w:rPr>
          <w:rFonts w:cs="FrankRuehl" w:hint="cs"/>
          <w:sz w:val="18"/>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E861B" w14:textId="77777777" w:rsidR="00904EEA" w:rsidRDefault="00904EE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2ECBAE06" w14:textId="77777777"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6DFEB87" w14:textId="77777777"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77F1B" w14:textId="77777777" w:rsidR="00904EEA" w:rsidRDefault="0011648D" w:rsidP="007264C8">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צו התקשורת (בזק ושידורים) (פטור מאישור סוג </w:t>
    </w:r>
    <w:r w:rsidR="007264C8">
      <w:rPr>
        <w:rFonts w:hAnsi="FrankRuehl" w:cs="FrankRuehl" w:hint="cs"/>
        <w:color w:val="000000"/>
        <w:sz w:val="28"/>
        <w:szCs w:val="28"/>
        <w:rtl/>
      </w:rPr>
      <w:t>לציוד קצה), תשע"ד-2014</w:t>
    </w:r>
  </w:p>
  <w:p w14:paraId="35241550" w14:textId="77777777"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452641F" w14:textId="77777777"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963510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61ED"/>
    <w:rsid w:val="000619D9"/>
    <w:rsid w:val="00064468"/>
    <w:rsid w:val="000660AD"/>
    <w:rsid w:val="000B425E"/>
    <w:rsid w:val="000D7097"/>
    <w:rsid w:val="000D7FBE"/>
    <w:rsid w:val="000F2719"/>
    <w:rsid w:val="0010753D"/>
    <w:rsid w:val="00112119"/>
    <w:rsid w:val="0011648D"/>
    <w:rsid w:val="00122C2E"/>
    <w:rsid w:val="001275F0"/>
    <w:rsid w:val="00141013"/>
    <w:rsid w:val="0017300F"/>
    <w:rsid w:val="001C4AB6"/>
    <w:rsid w:val="001E0FA8"/>
    <w:rsid w:val="001E5900"/>
    <w:rsid w:val="002216B6"/>
    <w:rsid w:val="002538D4"/>
    <w:rsid w:val="002713C6"/>
    <w:rsid w:val="0027553D"/>
    <w:rsid w:val="002B5C82"/>
    <w:rsid w:val="002C7187"/>
    <w:rsid w:val="002E3E60"/>
    <w:rsid w:val="0033559B"/>
    <w:rsid w:val="003415DF"/>
    <w:rsid w:val="003528CA"/>
    <w:rsid w:val="00365B03"/>
    <w:rsid w:val="0038401D"/>
    <w:rsid w:val="00384399"/>
    <w:rsid w:val="003A23D8"/>
    <w:rsid w:val="003E74D6"/>
    <w:rsid w:val="003F5C71"/>
    <w:rsid w:val="00412B9D"/>
    <w:rsid w:val="00423394"/>
    <w:rsid w:val="00431CAA"/>
    <w:rsid w:val="004573DF"/>
    <w:rsid w:val="00457517"/>
    <w:rsid w:val="00460500"/>
    <w:rsid w:val="004648F4"/>
    <w:rsid w:val="0049351E"/>
    <w:rsid w:val="004A1E73"/>
    <w:rsid w:val="004B26DB"/>
    <w:rsid w:val="004C3C1F"/>
    <w:rsid w:val="00501516"/>
    <w:rsid w:val="0050183D"/>
    <w:rsid w:val="005513F1"/>
    <w:rsid w:val="00574BC7"/>
    <w:rsid w:val="00582089"/>
    <w:rsid w:val="005C17DB"/>
    <w:rsid w:val="005E7167"/>
    <w:rsid w:val="005F0726"/>
    <w:rsid w:val="00603266"/>
    <w:rsid w:val="006211FD"/>
    <w:rsid w:val="00621FC6"/>
    <w:rsid w:val="00635CB5"/>
    <w:rsid w:val="0063615E"/>
    <w:rsid w:val="00636642"/>
    <w:rsid w:val="00682437"/>
    <w:rsid w:val="006849D8"/>
    <w:rsid w:val="006B185F"/>
    <w:rsid w:val="006F007A"/>
    <w:rsid w:val="007264C8"/>
    <w:rsid w:val="0072730D"/>
    <w:rsid w:val="0075069C"/>
    <w:rsid w:val="00751F4D"/>
    <w:rsid w:val="00753B1F"/>
    <w:rsid w:val="0076254E"/>
    <w:rsid w:val="00763D9B"/>
    <w:rsid w:val="0078071F"/>
    <w:rsid w:val="007C0B21"/>
    <w:rsid w:val="007C4D2C"/>
    <w:rsid w:val="008055DD"/>
    <w:rsid w:val="008138ED"/>
    <w:rsid w:val="00814DCB"/>
    <w:rsid w:val="008159FF"/>
    <w:rsid w:val="008353F1"/>
    <w:rsid w:val="00852A6C"/>
    <w:rsid w:val="0085655A"/>
    <w:rsid w:val="0086107A"/>
    <w:rsid w:val="00864BDC"/>
    <w:rsid w:val="0087771D"/>
    <w:rsid w:val="008814B5"/>
    <w:rsid w:val="0089792E"/>
    <w:rsid w:val="008A638E"/>
    <w:rsid w:val="008C2526"/>
    <w:rsid w:val="008D7B6B"/>
    <w:rsid w:val="008E367E"/>
    <w:rsid w:val="00904EEA"/>
    <w:rsid w:val="00906581"/>
    <w:rsid w:val="00926BE7"/>
    <w:rsid w:val="00927A15"/>
    <w:rsid w:val="0094047B"/>
    <w:rsid w:val="00942E80"/>
    <w:rsid w:val="0094774E"/>
    <w:rsid w:val="009922C9"/>
    <w:rsid w:val="009A37B4"/>
    <w:rsid w:val="009C2916"/>
    <w:rsid w:val="009C6080"/>
    <w:rsid w:val="009C7AF7"/>
    <w:rsid w:val="009E096B"/>
    <w:rsid w:val="009E726B"/>
    <w:rsid w:val="00A10AE2"/>
    <w:rsid w:val="00A14F70"/>
    <w:rsid w:val="00A20CB7"/>
    <w:rsid w:val="00A44AC8"/>
    <w:rsid w:val="00A60B5A"/>
    <w:rsid w:val="00A9239A"/>
    <w:rsid w:val="00A96559"/>
    <w:rsid w:val="00AC7B1B"/>
    <w:rsid w:val="00AE77CE"/>
    <w:rsid w:val="00AE792C"/>
    <w:rsid w:val="00B17AF7"/>
    <w:rsid w:val="00B261A3"/>
    <w:rsid w:val="00B31DF7"/>
    <w:rsid w:val="00B62BCF"/>
    <w:rsid w:val="00B8400A"/>
    <w:rsid w:val="00B84C6D"/>
    <w:rsid w:val="00B87DA4"/>
    <w:rsid w:val="00BA13FB"/>
    <w:rsid w:val="00BB56DB"/>
    <w:rsid w:val="00BE03B7"/>
    <w:rsid w:val="00BF254E"/>
    <w:rsid w:val="00BF580C"/>
    <w:rsid w:val="00C17A30"/>
    <w:rsid w:val="00C20388"/>
    <w:rsid w:val="00C25745"/>
    <w:rsid w:val="00C2602E"/>
    <w:rsid w:val="00C53230"/>
    <w:rsid w:val="00C6067A"/>
    <w:rsid w:val="00C75E63"/>
    <w:rsid w:val="00C85DDF"/>
    <w:rsid w:val="00CA3117"/>
    <w:rsid w:val="00CD2C63"/>
    <w:rsid w:val="00CD6719"/>
    <w:rsid w:val="00CE79CF"/>
    <w:rsid w:val="00D002A9"/>
    <w:rsid w:val="00D10BBD"/>
    <w:rsid w:val="00D25D5C"/>
    <w:rsid w:val="00D3243E"/>
    <w:rsid w:val="00D33D4D"/>
    <w:rsid w:val="00D4088D"/>
    <w:rsid w:val="00D5121D"/>
    <w:rsid w:val="00D55EBB"/>
    <w:rsid w:val="00D714B8"/>
    <w:rsid w:val="00D909F6"/>
    <w:rsid w:val="00DA3C17"/>
    <w:rsid w:val="00DC6B1A"/>
    <w:rsid w:val="00E633E6"/>
    <w:rsid w:val="00E967BF"/>
    <w:rsid w:val="00EA783F"/>
    <w:rsid w:val="00EB2CE0"/>
    <w:rsid w:val="00ED50FD"/>
    <w:rsid w:val="00EE70B6"/>
    <w:rsid w:val="00EF1C64"/>
    <w:rsid w:val="00EF7022"/>
    <w:rsid w:val="00F03C2D"/>
    <w:rsid w:val="00F06EE7"/>
    <w:rsid w:val="00F24CC7"/>
    <w:rsid w:val="00F618C9"/>
    <w:rsid w:val="00F67F6D"/>
    <w:rsid w:val="00F810E4"/>
    <w:rsid w:val="00F87D85"/>
    <w:rsid w:val="00FA1FFE"/>
    <w:rsid w:val="00FE052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59319A5"/>
  <w15:chartTrackingRefBased/>
  <w15:docId w15:val="{6BE0FAA5-9D42-46F1-B716-E317909F4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Unresolved Mention"/>
    <w:uiPriority w:val="99"/>
    <w:semiHidden/>
    <w:unhideWhenUsed/>
    <w:rsid w:val="007C4D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0/yalkut-7186.pd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vo.co.il/Law_word/law10/yalkut-7186.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nevo.co.il/Law_word/law10/yalkut-7186.pdf" TargetMode="External"/><Relationship Id="rId4" Type="http://schemas.openxmlformats.org/officeDocument/2006/relationships/settings" Target="settings.xml"/><Relationship Id="rId9" Type="http://schemas.openxmlformats.org/officeDocument/2006/relationships/hyperlink" Target="http://www.nevo.co.il/Law_word/law10/yalkut-7186.pdf"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10/yalkut-8176.pdf" TargetMode="External"/><Relationship Id="rId2" Type="http://schemas.openxmlformats.org/officeDocument/2006/relationships/hyperlink" Target="http://www.nevo.co.il/Law_word/law10/yalkut-7186.pdf" TargetMode="External"/><Relationship Id="rId1" Type="http://schemas.openxmlformats.org/officeDocument/2006/relationships/hyperlink" Target="http://www.nevo.co.il/law_word/law06/tak-742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9F5D6-BCAE-46E0-B958-E8CA0429C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1150</Words>
  <Characters>6558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7693</CharactersWithSpaces>
  <SharedDoc>false</SharedDoc>
  <HLinks>
    <vt:vector size="96" baseType="variant">
      <vt:variant>
        <vt:i4>393283</vt:i4>
      </vt:variant>
      <vt:variant>
        <vt:i4>60</vt:i4>
      </vt:variant>
      <vt:variant>
        <vt:i4>0</vt:i4>
      </vt:variant>
      <vt:variant>
        <vt:i4>5</vt:i4>
      </vt:variant>
      <vt:variant>
        <vt:lpwstr>http://www.nevo.co.il/advertisements/nevo-100.doc</vt:lpwstr>
      </vt:variant>
      <vt:variant>
        <vt:lpwstr/>
      </vt:variant>
      <vt:variant>
        <vt:i4>7733262</vt:i4>
      </vt:variant>
      <vt:variant>
        <vt:i4>57</vt:i4>
      </vt:variant>
      <vt:variant>
        <vt:i4>0</vt:i4>
      </vt:variant>
      <vt:variant>
        <vt:i4>5</vt:i4>
      </vt:variant>
      <vt:variant>
        <vt:lpwstr>http://www.nevo.co.il/Law_word/law10/yalkut-7186.pdf</vt:lpwstr>
      </vt:variant>
      <vt:variant>
        <vt:lpwstr/>
      </vt:variant>
      <vt:variant>
        <vt:i4>7733262</vt:i4>
      </vt:variant>
      <vt:variant>
        <vt:i4>54</vt:i4>
      </vt:variant>
      <vt:variant>
        <vt:i4>0</vt:i4>
      </vt:variant>
      <vt:variant>
        <vt:i4>5</vt:i4>
      </vt:variant>
      <vt:variant>
        <vt:lpwstr>http://www.nevo.co.il/Law_word/law10/yalkut-7186.pdf</vt:lpwstr>
      </vt:variant>
      <vt:variant>
        <vt:lpwstr/>
      </vt:variant>
      <vt:variant>
        <vt:i4>7733262</vt:i4>
      </vt:variant>
      <vt:variant>
        <vt:i4>51</vt:i4>
      </vt:variant>
      <vt:variant>
        <vt:i4>0</vt:i4>
      </vt:variant>
      <vt:variant>
        <vt:i4>5</vt:i4>
      </vt:variant>
      <vt:variant>
        <vt:lpwstr>http://www.nevo.co.il/Law_word/law10/yalkut-7186.pdf</vt:lpwstr>
      </vt:variant>
      <vt:variant>
        <vt:lpwstr/>
      </vt:variant>
      <vt:variant>
        <vt:i4>7733262</vt:i4>
      </vt:variant>
      <vt:variant>
        <vt:i4>48</vt:i4>
      </vt:variant>
      <vt:variant>
        <vt:i4>0</vt:i4>
      </vt:variant>
      <vt:variant>
        <vt:i4>5</vt:i4>
      </vt:variant>
      <vt:variant>
        <vt:lpwstr>http://www.nevo.co.il/Law_word/law10/yalkut-7186.pdf</vt:lpwstr>
      </vt:variant>
      <vt:variant>
        <vt:lpwstr/>
      </vt:variant>
      <vt:variant>
        <vt:i4>5570569</vt:i4>
      </vt:variant>
      <vt:variant>
        <vt:i4>42</vt:i4>
      </vt:variant>
      <vt:variant>
        <vt:i4>0</vt:i4>
      </vt:variant>
      <vt:variant>
        <vt:i4>5</vt:i4>
      </vt:variant>
      <vt:variant>
        <vt:lpwstr/>
      </vt:variant>
      <vt:variant>
        <vt:lpwstr>med0</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1441915</vt:i4>
      </vt:variant>
      <vt:variant>
        <vt:i4>6</vt:i4>
      </vt:variant>
      <vt:variant>
        <vt:i4>0</vt:i4>
      </vt:variant>
      <vt:variant>
        <vt:i4>5</vt:i4>
      </vt:variant>
      <vt:variant>
        <vt:lpwstr>https://www.nevo.co.il/law_word/law10/yalkut-8176.pdf</vt:lpwstr>
      </vt:variant>
      <vt:variant>
        <vt:lpwstr/>
      </vt:variant>
      <vt:variant>
        <vt:i4>7733262</vt:i4>
      </vt:variant>
      <vt:variant>
        <vt:i4>3</vt:i4>
      </vt:variant>
      <vt:variant>
        <vt:i4>0</vt:i4>
      </vt:variant>
      <vt:variant>
        <vt:i4>5</vt:i4>
      </vt:variant>
      <vt:variant>
        <vt:lpwstr>http://www.nevo.co.il/Law_word/law10/yalkut-7186.pdf</vt:lpwstr>
      </vt:variant>
      <vt:variant>
        <vt:lpwstr/>
      </vt:variant>
      <vt:variant>
        <vt:i4>8126479</vt:i4>
      </vt:variant>
      <vt:variant>
        <vt:i4>0</vt:i4>
      </vt:variant>
      <vt:variant>
        <vt:i4>0</vt:i4>
      </vt:variant>
      <vt:variant>
        <vt:i4>5</vt:i4>
      </vt:variant>
      <vt:variant>
        <vt:lpwstr>http://www.nevo.co.il/law_word/law06/tak-7423.pdf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2023-06-05T19:20:00Z</dcterms:created>
  <dcterms:modified xsi:type="dcterms:W3CDTF">2023-06-05T19:20:00Z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צו התקשורת (בזק ושידורים) (פטור מאישור סוג לציוד קצה), תשע"ד-2014</vt:lpwstr>
  </property>
  <property fmtid="{D5CDD505-2E9C-101B-9397-08002B2CF9AE}" pid="4" name="LAWNUMBER">
    <vt:lpwstr>0097</vt:lpwstr>
  </property>
  <property fmtid="{D5CDD505-2E9C-101B-9397-08002B2CF9AE}" pid="5" name="TYPE">
    <vt:lpwstr>01</vt:lpwstr>
  </property>
  <property fmtid="{D5CDD505-2E9C-101B-9397-08002B2CF9AE}" pid="6" name="CHNAME">
    <vt:lpwstr>תקשורת</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LINKK2">
    <vt:lpwstr>http://www.nevo.co.il/Law_word/law10/yalkut-7186.pdf;‎רשומות - ילקוט פרסומים#תוקן י"פ ‏תשע"ו מס' 7186# מיום 14.1.2016 עמ' 2688 – הודעה תשע"ו-2016; תחילתה ביום 3.4.2016‏</vt:lpwstr>
  </property>
  <property fmtid="{D5CDD505-2E9C-101B-9397-08002B2CF9AE}" pid="23" name="NOSE11">
    <vt:lpwstr>רשויות ומשפט מנהלי</vt:lpwstr>
  </property>
  <property fmtid="{D5CDD505-2E9C-101B-9397-08002B2CF9AE}" pid="24" name="NOSE21">
    <vt:lpwstr>תקשורת</vt:lpwstr>
  </property>
  <property fmtid="{D5CDD505-2E9C-101B-9397-08002B2CF9AE}" pid="25" name="NOSE31">
    <vt:lpwstr>בזק ושידורים</vt:lpwstr>
  </property>
  <property fmtid="{D5CDD505-2E9C-101B-9397-08002B2CF9AE}" pid="26" name="NOSE41">
    <vt:lpwstr>רישיון</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חוק התקשורת (בזק ושידורים)</vt:lpwstr>
  </property>
  <property fmtid="{D5CDD505-2E9C-101B-9397-08002B2CF9AE}" pid="64" name="MEKOR_SAIF1">
    <vt:lpwstr>4אXד3X;53אXאX4X;59X</vt:lpwstr>
  </property>
  <property fmtid="{D5CDD505-2E9C-101B-9397-08002B2CF9AE}" pid="65" name="LINKK1">
    <vt:lpwstr>http://www.nevo.co.il/law_word/law06/tak-7423.pdf;‎רשומות - תקנות כלליות#פורסם ק"ת תשע"ד ‏מס' 7423 #מיום 11.9.2014 עמ' 1765‏</vt:lpwstr>
  </property>
</Properties>
</file>