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7632" w14:textId="77777777" w:rsidR="00332489" w:rsidRDefault="00332489" w:rsidP="006903BD">
      <w:pPr>
        <w:pStyle w:val="big-header"/>
        <w:ind w:left="0" w:right="1134"/>
        <w:rPr>
          <w:rFonts w:cs="FrankRuehl" w:hint="cs"/>
          <w:sz w:val="32"/>
          <w:rtl/>
        </w:rPr>
      </w:pPr>
      <w:r>
        <w:rPr>
          <w:rFonts w:cs="FrankRuehl" w:hint="cs"/>
          <w:sz w:val="32"/>
          <w:rtl/>
        </w:rPr>
        <w:t>צו חסינויות וזכויות יתר (ארגונים בין-לאומיים ומשלחות מיוחדות) (</w:t>
      </w:r>
      <w:r w:rsidR="006903BD">
        <w:rPr>
          <w:rFonts w:cs="FrankRuehl" w:hint="cs"/>
          <w:sz w:val="32"/>
          <w:rtl/>
        </w:rPr>
        <w:t>הארגון האירופי למחקר גרעיני), תשע"ב-2012</w:t>
      </w:r>
    </w:p>
    <w:p w14:paraId="565E2059" w14:textId="77777777" w:rsidR="006903BD" w:rsidRPr="006903BD" w:rsidRDefault="006903BD" w:rsidP="006903BD">
      <w:pPr>
        <w:spacing w:line="320" w:lineRule="auto"/>
        <w:rPr>
          <w:rFonts w:cs="FrankRuehl"/>
          <w:szCs w:val="26"/>
          <w:rtl/>
        </w:rPr>
      </w:pPr>
    </w:p>
    <w:p w14:paraId="740BDB68" w14:textId="77777777" w:rsidR="006903BD" w:rsidRDefault="006903BD" w:rsidP="006903BD">
      <w:pPr>
        <w:spacing w:line="320" w:lineRule="auto"/>
        <w:rPr>
          <w:rtl/>
        </w:rPr>
      </w:pPr>
    </w:p>
    <w:p w14:paraId="05ED2643" w14:textId="77777777" w:rsidR="006903BD" w:rsidRDefault="006903BD" w:rsidP="006903BD">
      <w:pPr>
        <w:spacing w:line="320" w:lineRule="auto"/>
        <w:rPr>
          <w:rFonts w:cs="Miriam"/>
          <w:szCs w:val="22"/>
          <w:rtl/>
        </w:rPr>
      </w:pPr>
      <w:r w:rsidRPr="006903BD">
        <w:rPr>
          <w:rFonts w:cs="Miriam"/>
          <w:szCs w:val="22"/>
          <w:rtl/>
        </w:rPr>
        <w:t>משפט בינ"ל פומבי</w:t>
      </w:r>
      <w:r w:rsidRPr="006903BD">
        <w:rPr>
          <w:rFonts w:cs="FrankRuehl"/>
          <w:szCs w:val="26"/>
          <w:rtl/>
        </w:rPr>
        <w:t xml:space="preserve"> – ארגונים בין-לאומיים – חסינויות וזכויות</w:t>
      </w:r>
    </w:p>
    <w:p w14:paraId="75E18704" w14:textId="77777777" w:rsidR="006903BD" w:rsidRPr="006903BD" w:rsidRDefault="006903BD" w:rsidP="006903BD">
      <w:pPr>
        <w:spacing w:line="320" w:lineRule="auto"/>
        <w:rPr>
          <w:rFonts w:cs="Miriam" w:hint="cs"/>
          <w:szCs w:val="22"/>
          <w:rtl/>
        </w:rPr>
      </w:pPr>
      <w:r w:rsidRPr="006903BD">
        <w:rPr>
          <w:rFonts w:cs="Miriam"/>
          <w:szCs w:val="22"/>
          <w:rtl/>
        </w:rPr>
        <w:t>רשויות ומשפט מנהלי</w:t>
      </w:r>
      <w:r w:rsidRPr="006903BD">
        <w:rPr>
          <w:rFonts w:cs="FrankRuehl"/>
          <w:szCs w:val="26"/>
          <w:rtl/>
        </w:rPr>
        <w:t xml:space="preserve"> – מדע</w:t>
      </w:r>
    </w:p>
    <w:p w14:paraId="6805AADF" w14:textId="77777777" w:rsidR="00332489" w:rsidRDefault="003324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3DFF" w:rsidRPr="00C03DFF" w14:paraId="681A2482" w14:textId="77777777">
        <w:tblPrEx>
          <w:tblCellMar>
            <w:top w:w="0" w:type="dxa"/>
            <w:bottom w:w="0" w:type="dxa"/>
          </w:tblCellMar>
        </w:tblPrEx>
        <w:tc>
          <w:tcPr>
            <w:tcW w:w="1247" w:type="dxa"/>
          </w:tcPr>
          <w:p w14:paraId="3C79281F" w14:textId="77777777" w:rsidR="00C03DFF" w:rsidRPr="00C03DFF" w:rsidRDefault="00C03DFF" w:rsidP="00C03DFF">
            <w:pPr>
              <w:rPr>
                <w:rFonts w:cs="Frankruhel" w:hint="cs"/>
                <w:rtl/>
              </w:rPr>
            </w:pPr>
            <w:r>
              <w:rPr>
                <w:rtl/>
              </w:rPr>
              <w:t xml:space="preserve">סעיף 1 </w:t>
            </w:r>
          </w:p>
        </w:tc>
        <w:tc>
          <w:tcPr>
            <w:tcW w:w="5669" w:type="dxa"/>
          </w:tcPr>
          <w:p w14:paraId="0F04F173" w14:textId="77777777" w:rsidR="00C03DFF" w:rsidRPr="00C03DFF" w:rsidRDefault="00C03DFF" w:rsidP="00C03DFF">
            <w:pPr>
              <w:rPr>
                <w:rFonts w:cs="Frankruhel" w:hint="cs"/>
                <w:rtl/>
              </w:rPr>
            </w:pPr>
            <w:r>
              <w:rPr>
                <w:rtl/>
              </w:rPr>
              <w:t>חסינויות וזכויות יתר</w:t>
            </w:r>
          </w:p>
        </w:tc>
        <w:tc>
          <w:tcPr>
            <w:tcW w:w="567" w:type="dxa"/>
          </w:tcPr>
          <w:p w14:paraId="4BAF877E" w14:textId="77777777" w:rsidR="00C03DFF" w:rsidRPr="00C03DFF" w:rsidRDefault="00C03DFF" w:rsidP="00C03DFF">
            <w:pPr>
              <w:rPr>
                <w:rStyle w:val="Hyperlink"/>
                <w:rFonts w:hint="cs"/>
                <w:rtl/>
              </w:rPr>
            </w:pPr>
            <w:hyperlink w:anchor="Seif1" w:tooltip="חסינויות וזכויות יתר" w:history="1">
              <w:r w:rsidRPr="00C03DFF">
                <w:rPr>
                  <w:rStyle w:val="Hyperlink"/>
                </w:rPr>
                <w:t>Go</w:t>
              </w:r>
            </w:hyperlink>
          </w:p>
        </w:tc>
        <w:tc>
          <w:tcPr>
            <w:tcW w:w="850" w:type="dxa"/>
          </w:tcPr>
          <w:p w14:paraId="27EDC7E3"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03DFF" w:rsidRPr="00C03DFF" w14:paraId="3B5CC034" w14:textId="77777777">
        <w:tblPrEx>
          <w:tblCellMar>
            <w:top w:w="0" w:type="dxa"/>
            <w:bottom w:w="0" w:type="dxa"/>
          </w:tblCellMar>
        </w:tblPrEx>
        <w:tc>
          <w:tcPr>
            <w:tcW w:w="1247" w:type="dxa"/>
          </w:tcPr>
          <w:p w14:paraId="4DF76F49" w14:textId="77777777" w:rsidR="00C03DFF" w:rsidRPr="00C03DFF" w:rsidRDefault="00C03DFF" w:rsidP="00C03DFF">
            <w:pPr>
              <w:rPr>
                <w:rFonts w:cs="Frankruhel" w:hint="cs"/>
                <w:rtl/>
              </w:rPr>
            </w:pPr>
            <w:r>
              <w:rPr>
                <w:rtl/>
              </w:rPr>
              <w:t xml:space="preserve">סעיף 2 </w:t>
            </w:r>
          </w:p>
        </w:tc>
        <w:tc>
          <w:tcPr>
            <w:tcW w:w="5669" w:type="dxa"/>
          </w:tcPr>
          <w:p w14:paraId="2875181E" w14:textId="77777777" w:rsidR="00C03DFF" w:rsidRPr="00C03DFF" w:rsidRDefault="00C03DFF" w:rsidP="00C03DFF">
            <w:pPr>
              <w:rPr>
                <w:rFonts w:cs="Frankruhel" w:hint="cs"/>
                <w:rtl/>
              </w:rPr>
            </w:pPr>
            <w:r>
              <w:rPr>
                <w:rtl/>
              </w:rPr>
              <w:t>סייג</w:t>
            </w:r>
          </w:p>
        </w:tc>
        <w:tc>
          <w:tcPr>
            <w:tcW w:w="567" w:type="dxa"/>
          </w:tcPr>
          <w:p w14:paraId="2F2AED26" w14:textId="77777777" w:rsidR="00C03DFF" w:rsidRPr="00C03DFF" w:rsidRDefault="00C03DFF" w:rsidP="00C03DFF">
            <w:pPr>
              <w:rPr>
                <w:rStyle w:val="Hyperlink"/>
                <w:rFonts w:hint="cs"/>
                <w:rtl/>
              </w:rPr>
            </w:pPr>
            <w:hyperlink w:anchor="Seif2" w:tooltip="סייג" w:history="1">
              <w:r w:rsidRPr="00C03DFF">
                <w:rPr>
                  <w:rStyle w:val="Hyperlink"/>
                </w:rPr>
                <w:t>Go</w:t>
              </w:r>
            </w:hyperlink>
          </w:p>
        </w:tc>
        <w:tc>
          <w:tcPr>
            <w:tcW w:w="850" w:type="dxa"/>
          </w:tcPr>
          <w:p w14:paraId="1CD891C4"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03DFF" w:rsidRPr="00C03DFF" w14:paraId="600D056F" w14:textId="77777777">
        <w:tblPrEx>
          <w:tblCellMar>
            <w:top w:w="0" w:type="dxa"/>
            <w:bottom w:w="0" w:type="dxa"/>
          </w:tblCellMar>
        </w:tblPrEx>
        <w:tc>
          <w:tcPr>
            <w:tcW w:w="1247" w:type="dxa"/>
          </w:tcPr>
          <w:p w14:paraId="704666FA" w14:textId="77777777" w:rsidR="00C03DFF" w:rsidRPr="00C03DFF" w:rsidRDefault="00C03DFF" w:rsidP="00C03DFF">
            <w:pPr>
              <w:rPr>
                <w:rFonts w:cs="Frankruhel" w:hint="cs"/>
                <w:rtl/>
              </w:rPr>
            </w:pPr>
          </w:p>
        </w:tc>
        <w:tc>
          <w:tcPr>
            <w:tcW w:w="5669" w:type="dxa"/>
          </w:tcPr>
          <w:p w14:paraId="57E967B9" w14:textId="77777777" w:rsidR="00C03DFF" w:rsidRPr="00C03DFF" w:rsidRDefault="00C03DFF" w:rsidP="00C03DFF">
            <w:pPr>
              <w:rPr>
                <w:rFonts w:cs="Frankruhel" w:hint="cs"/>
                <w:rtl/>
              </w:rPr>
            </w:pPr>
            <w:r>
              <w:rPr>
                <w:rtl/>
              </w:rPr>
              <w:t>תוספת</w:t>
            </w:r>
          </w:p>
        </w:tc>
        <w:tc>
          <w:tcPr>
            <w:tcW w:w="567" w:type="dxa"/>
          </w:tcPr>
          <w:p w14:paraId="303D1B6B" w14:textId="77777777" w:rsidR="00C03DFF" w:rsidRPr="00C03DFF" w:rsidRDefault="00C03DFF" w:rsidP="00C03DFF">
            <w:pPr>
              <w:rPr>
                <w:rStyle w:val="Hyperlink"/>
                <w:rFonts w:hint="cs"/>
                <w:rtl/>
              </w:rPr>
            </w:pPr>
            <w:hyperlink w:anchor="med0" w:tooltip="תוספת" w:history="1">
              <w:r w:rsidRPr="00C03DFF">
                <w:rPr>
                  <w:rStyle w:val="Hyperlink"/>
                </w:rPr>
                <w:t>Go</w:t>
              </w:r>
            </w:hyperlink>
          </w:p>
        </w:tc>
        <w:tc>
          <w:tcPr>
            <w:tcW w:w="850" w:type="dxa"/>
          </w:tcPr>
          <w:p w14:paraId="3351B156"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C03DFF" w:rsidRPr="00C03DFF" w14:paraId="719DEC22" w14:textId="77777777">
        <w:tblPrEx>
          <w:tblCellMar>
            <w:top w:w="0" w:type="dxa"/>
            <w:bottom w:w="0" w:type="dxa"/>
          </w:tblCellMar>
        </w:tblPrEx>
        <w:tc>
          <w:tcPr>
            <w:tcW w:w="1247" w:type="dxa"/>
          </w:tcPr>
          <w:p w14:paraId="6E966151" w14:textId="77777777" w:rsidR="00C03DFF" w:rsidRPr="00C03DFF" w:rsidRDefault="00C03DFF" w:rsidP="00C03DFF">
            <w:pPr>
              <w:rPr>
                <w:rFonts w:cs="Frankruhel" w:hint="cs"/>
                <w:rtl/>
              </w:rPr>
            </w:pPr>
          </w:p>
        </w:tc>
        <w:tc>
          <w:tcPr>
            <w:tcW w:w="5669" w:type="dxa"/>
          </w:tcPr>
          <w:p w14:paraId="1A205325" w14:textId="77777777" w:rsidR="00C03DFF" w:rsidRPr="00C03DFF" w:rsidRDefault="00C03DFF" w:rsidP="00C03DFF">
            <w:pPr>
              <w:rPr>
                <w:rFonts w:cs="Frankruhel" w:hint="cs"/>
                <w:rtl/>
              </w:rPr>
            </w:pPr>
            <w:r>
              <w:rPr>
                <w:rtl/>
              </w:rPr>
              <w:t>סעיף 1</w:t>
            </w:r>
          </w:p>
        </w:tc>
        <w:tc>
          <w:tcPr>
            <w:tcW w:w="567" w:type="dxa"/>
          </w:tcPr>
          <w:p w14:paraId="65226983" w14:textId="77777777" w:rsidR="00C03DFF" w:rsidRPr="00C03DFF" w:rsidRDefault="00C03DFF" w:rsidP="00C03DFF">
            <w:pPr>
              <w:rPr>
                <w:rStyle w:val="Hyperlink"/>
                <w:rFonts w:hint="cs"/>
                <w:rtl/>
              </w:rPr>
            </w:pPr>
            <w:hyperlink w:anchor="med1" w:tooltip="סעיף 1" w:history="1">
              <w:r w:rsidRPr="00C03DFF">
                <w:rPr>
                  <w:rStyle w:val="Hyperlink"/>
                </w:rPr>
                <w:t>Go</w:t>
              </w:r>
            </w:hyperlink>
          </w:p>
        </w:tc>
        <w:tc>
          <w:tcPr>
            <w:tcW w:w="850" w:type="dxa"/>
          </w:tcPr>
          <w:p w14:paraId="7436B3D5"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C03DFF" w:rsidRPr="00C03DFF" w14:paraId="7893AE10" w14:textId="77777777">
        <w:tblPrEx>
          <w:tblCellMar>
            <w:top w:w="0" w:type="dxa"/>
            <w:bottom w:w="0" w:type="dxa"/>
          </w:tblCellMar>
        </w:tblPrEx>
        <w:tc>
          <w:tcPr>
            <w:tcW w:w="1247" w:type="dxa"/>
          </w:tcPr>
          <w:p w14:paraId="5278DAFF" w14:textId="77777777" w:rsidR="00C03DFF" w:rsidRPr="00C03DFF" w:rsidRDefault="00C03DFF" w:rsidP="00C03DFF">
            <w:pPr>
              <w:rPr>
                <w:rFonts w:cs="Frankruhel" w:hint="cs"/>
                <w:rtl/>
              </w:rPr>
            </w:pPr>
          </w:p>
        </w:tc>
        <w:tc>
          <w:tcPr>
            <w:tcW w:w="5669" w:type="dxa"/>
          </w:tcPr>
          <w:p w14:paraId="01765237" w14:textId="77777777" w:rsidR="00C03DFF" w:rsidRPr="00C03DFF" w:rsidRDefault="00C03DFF" w:rsidP="00C03DFF">
            <w:pPr>
              <w:rPr>
                <w:rFonts w:cs="Frankruhel" w:hint="cs"/>
                <w:rtl/>
              </w:rPr>
            </w:pPr>
            <w:r>
              <w:rPr>
                <w:rtl/>
              </w:rPr>
              <w:t>סעיף 2</w:t>
            </w:r>
          </w:p>
        </w:tc>
        <w:tc>
          <w:tcPr>
            <w:tcW w:w="567" w:type="dxa"/>
          </w:tcPr>
          <w:p w14:paraId="333CB8D6" w14:textId="77777777" w:rsidR="00C03DFF" w:rsidRPr="00C03DFF" w:rsidRDefault="00C03DFF" w:rsidP="00C03DFF">
            <w:pPr>
              <w:rPr>
                <w:rStyle w:val="Hyperlink"/>
                <w:rFonts w:hint="cs"/>
                <w:rtl/>
              </w:rPr>
            </w:pPr>
            <w:hyperlink w:anchor="med2" w:tooltip="סעיף 2" w:history="1">
              <w:r w:rsidRPr="00C03DFF">
                <w:rPr>
                  <w:rStyle w:val="Hyperlink"/>
                </w:rPr>
                <w:t>Go</w:t>
              </w:r>
            </w:hyperlink>
          </w:p>
        </w:tc>
        <w:tc>
          <w:tcPr>
            <w:tcW w:w="850" w:type="dxa"/>
          </w:tcPr>
          <w:p w14:paraId="3B8BADB4"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C03DFF" w:rsidRPr="00C03DFF" w14:paraId="6620B726" w14:textId="77777777">
        <w:tblPrEx>
          <w:tblCellMar>
            <w:top w:w="0" w:type="dxa"/>
            <w:bottom w:w="0" w:type="dxa"/>
          </w:tblCellMar>
        </w:tblPrEx>
        <w:tc>
          <w:tcPr>
            <w:tcW w:w="1247" w:type="dxa"/>
          </w:tcPr>
          <w:p w14:paraId="548991E6" w14:textId="77777777" w:rsidR="00C03DFF" w:rsidRPr="00C03DFF" w:rsidRDefault="00C03DFF" w:rsidP="00C03DFF">
            <w:pPr>
              <w:rPr>
                <w:rFonts w:cs="Frankruhel" w:hint="cs"/>
                <w:rtl/>
              </w:rPr>
            </w:pPr>
          </w:p>
        </w:tc>
        <w:tc>
          <w:tcPr>
            <w:tcW w:w="5669" w:type="dxa"/>
          </w:tcPr>
          <w:p w14:paraId="3CAF0896" w14:textId="77777777" w:rsidR="00C03DFF" w:rsidRPr="00C03DFF" w:rsidRDefault="00C03DFF" w:rsidP="00C03DFF">
            <w:pPr>
              <w:rPr>
                <w:rFonts w:cs="Frankruhel" w:hint="cs"/>
                <w:rtl/>
              </w:rPr>
            </w:pPr>
            <w:r>
              <w:rPr>
                <w:rtl/>
              </w:rPr>
              <w:t>סעיף 3</w:t>
            </w:r>
          </w:p>
        </w:tc>
        <w:tc>
          <w:tcPr>
            <w:tcW w:w="567" w:type="dxa"/>
          </w:tcPr>
          <w:p w14:paraId="21E928C7" w14:textId="77777777" w:rsidR="00C03DFF" w:rsidRPr="00C03DFF" w:rsidRDefault="00C03DFF" w:rsidP="00C03DFF">
            <w:pPr>
              <w:rPr>
                <w:rStyle w:val="Hyperlink"/>
                <w:rFonts w:hint="cs"/>
                <w:rtl/>
              </w:rPr>
            </w:pPr>
            <w:hyperlink w:anchor="med3" w:tooltip="סעיף 3" w:history="1">
              <w:r w:rsidRPr="00C03DFF">
                <w:rPr>
                  <w:rStyle w:val="Hyperlink"/>
                </w:rPr>
                <w:t>Go</w:t>
              </w:r>
            </w:hyperlink>
          </w:p>
        </w:tc>
        <w:tc>
          <w:tcPr>
            <w:tcW w:w="850" w:type="dxa"/>
          </w:tcPr>
          <w:p w14:paraId="08CE1C4F"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C03DFF" w:rsidRPr="00C03DFF" w14:paraId="5C350E72" w14:textId="77777777">
        <w:tblPrEx>
          <w:tblCellMar>
            <w:top w:w="0" w:type="dxa"/>
            <w:bottom w:w="0" w:type="dxa"/>
          </w:tblCellMar>
        </w:tblPrEx>
        <w:tc>
          <w:tcPr>
            <w:tcW w:w="1247" w:type="dxa"/>
          </w:tcPr>
          <w:p w14:paraId="101F0C57" w14:textId="77777777" w:rsidR="00C03DFF" w:rsidRPr="00C03DFF" w:rsidRDefault="00C03DFF" w:rsidP="00C03DFF">
            <w:pPr>
              <w:rPr>
                <w:rFonts w:cs="Frankruhel" w:hint="cs"/>
                <w:rtl/>
              </w:rPr>
            </w:pPr>
          </w:p>
        </w:tc>
        <w:tc>
          <w:tcPr>
            <w:tcW w:w="5669" w:type="dxa"/>
          </w:tcPr>
          <w:p w14:paraId="12292FCA" w14:textId="77777777" w:rsidR="00C03DFF" w:rsidRPr="00C03DFF" w:rsidRDefault="00C03DFF" w:rsidP="00C03DFF">
            <w:pPr>
              <w:rPr>
                <w:rFonts w:cs="Frankruhel" w:hint="cs"/>
                <w:rtl/>
              </w:rPr>
            </w:pPr>
            <w:r>
              <w:rPr>
                <w:rtl/>
              </w:rPr>
              <w:t>סעיף 4</w:t>
            </w:r>
          </w:p>
        </w:tc>
        <w:tc>
          <w:tcPr>
            <w:tcW w:w="567" w:type="dxa"/>
          </w:tcPr>
          <w:p w14:paraId="511B051D" w14:textId="77777777" w:rsidR="00C03DFF" w:rsidRPr="00C03DFF" w:rsidRDefault="00C03DFF" w:rsidP="00C03DFF">
            <w:pPr>
              <w:rPr>
                <w:rStyle w:val="Hyperlink"/>
                <w:rFonts w:hint="cs"/>
                <w:rtl/>
              </w:rPr>
            </w:pPr>
            <w:hyperlink w:anchor="med4" w:tooltip="סעיף 4" w:history="1">
              <w:r w:rsidRPr="00C03DFF">
                <w:rPr>
                  <w:rStyle w:val="Hyperlink"/>
                </w:rPr>
                <w:t>Go</w:t>
              </w:r>
            </w:hyperlink>
          </w:p>
        </w:tc>
        <w:tc>
          <w:tcPr>
            <w:tcW w:w="850" w:type="dxa"/>
          </w:tcPr>
          <w:p w14:paraId="14A0143C"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r w:rsidR="00C03DFF" w:rsidRPr="00C03DFF" w14:paraId="0E978923" w14:textId="77777777">
        <w:tblPrEx>
          <w:tblCellMar>
            <w:top w:w="0" w:type="dxa"/>
            <w:bottom w:w="0" w:type="dxa"/>
          </w:tblCellMar>
        </w:tblPrEx>
        <w:tc>
          <w:tcPr>
            <w:tcW w:w="1247" w:type="dxa"/>
          </w:tcPr>
          <w:p w14:paraId="7A7824A5" w14:textId="77777777" w:rsidR="00C03DFF" w:rsidRPr="00C03DFF" w:rsidRDefault="00C03DFF" w:rsidP="00C03DFF">
            <w:pPr>
              <w:rPr>
                <w:rFonts w:cs="Frankruhel" w:hint="cs"/>
                <w:rtl/>
              </w:rPr>
            </w:pPr>
          </w:p>
        </w:tc>
        <w:tc>
          <w:tcPr>
            <w:tcW w:w="5669" w:type="dxa"/>
          </w:tcPr>
          <w:p w14:paraId="6E22CA18" w14:textId="77777777" w:rsidR="00C03DFF" w:rsidRPr="00C03DFF" w:rsidRDefault="00C03DFF" w:rsidP="00C03DFF">
            <w:pPr>
              <w:rPr>
                <w:rFonts w:cs="Frankruhel" w:hint="cs"/>
                <w:rtl/>
              </w:rPr>
            </w:pPr>
            <w:r>
              <w:rPr>
                <w:rtl/>
              </w:rPr>
              <w:t>סעיף 5</w:t>
            </w:r>
          </w:p>
        </w:tc>
        <w:tc>
          <w:tcPr>
            <w:tcW w:w="567" w:type="dxa"/>
          </w:tcPr>
          <w:p w14:paraId="47AFFA2C" w14:textId="77777777" w:rsidR="00C03DFF" w:rsidRPr="00C03DFF" w:rsidRDefault="00C03DFF" w:rsidP="00C03DFF">
            <w:pPr>
              <w:rPr>
                <w:rStyle w:val="Hyperlink"/>
                <w:rFonts w:hint="cs"/>
                <w:rtl/>
              </w:rPr>
            </w:pPr>
            <w:hyperlink w:anchor="med5" w:tooltip="סעיף 5" w:history="1">
              <w:r w:rsidRPr="00C03DFF">
                <w:rPr>
                  <w:rStyle w:val="Hyperlink"/>
                </w:rPr>
                <w:t>Go</w:t>
              </w:r>
            </w:hyperlink>
          </w:p>
        </w:tc>
        <w:tc>
          <w:tcPr>
            <w:tcW w:w="850" w:type="dxa"/>
          </w:tcPr>
          <w:p w14:paraId="451D42C6"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5</w:t>
            </w:r>
            <w:r>
              <w:rPr>
                <w:rFonts w:cs="Frankruhel"/>
                <w:rtl/>
              </w:rPr>
              <w:fldChar w:fldCharType="end"/>
            </w:r>
          </w:p>
        </w:tc>
      </w:tr>
      <w:tr w:rsidR="00C03DFF" w:rsidRPr="00C03DFF" w14:paraId="584695B0" w14:textId="77777777">
        <w:tblPrEx>
          <w:tblCellMar>
            <w:top w:w="0" w:type="dxa"/>
            <w:bottom w:w="0" w:type="dxa"/>
          </w:tblCellMar>
        </w:tblPrEx>
        <w:tc>
          <w:tcPr>
            <w:tcW w:w="1247" w:type="dxa"/>
          </w:tcPr>
          <w:p w14:paraId="6674CA12" w14:textId="77777777" w:rsidR="00C03DFF" w:rsidRPr="00C03DFF" w:rsidRDefault="00C03DFF" w:rsidP="00C03DFF">
            <w:pPr>
              <w:rPr>
                <w:rFonts w:cs="Frankruhel" w:hint="cs"/>
                <w:rtl/>
              </w:rPr>
            </w:pPr>
          </w:p>
        </w:tc>
        <w:tc>
          <w:tcPr>
            <w:tcW w:w="5669" w:type="dxa"/>
          </w:tcPr>
          <w:p w14:paraId="297903E2" w14:textId="77777777" w:rsidR="00C03DFF" w:rsidRPr="00C03DFF" w:rsidRDefault="00C03DFF" w:rsidP="00C03DFF">
            <w:pPr>
              <w:rPr>
                <w:rFonts w:cs="Frankruhel" w:hint="cs"/>
                <w:rtl/>
              </w:rPr>
            </w:pPr>
            <w:r>
              <w:rPr>
                <w:rtl/>
              </w:rPr>
              <w:t>נספח</w:t>
            </w:r>
          </w:p>
        </w:tc>
        <w:tc>
          <w:tcPr>
            <w:tcW w:w="567" w:type="dxa"/>
          </w:tcPr>
          <w:p w14:paraId="2296CBCC" w14:textId="77777777" w:rsidR="00C03DFF" w:rsidRPr="00C03DFF" w:rsidRDefault="00C03DFF" w:rsidP="00C03DFF">
            <w:pPr>
              <w:rPr>
                <w:rStyle w:val="Hyperlink"/>
                <w:rFonts w:hint="cs"/>
                <w:rtl/>
              </w:rPr>
            </w:pPr>
            <w:hyperlink w:anchor="med6" w:tooltip="נספח" w:history="1">
              <w:r w:rsidRPr="00C03DFF">
                <w:rPr>
                  <w:rStyle w:val="Hyperlink"/>
                </w:rPr>
                <w:t>Go</w:t>
              </w:r>
            </w:hyperlink>
          </w:p>
        </w:tc>
        <w:tc>
          <w:tcPr>
            <w:tcW w:w="850" w:type="dxa"/>
          </w:tcPr>
          <w:p w14:paraId="0E150AA8"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6</w:t>
            </w:r>
            <w:r>
              <w:rPr>
                <w:rFonts w:cs="Frankruhel"/>
                <w:rtl/>
              </w:rPr>
              <w:fldChar w:fldCharType="end"/>
            </w:r>
          </w:p>
        </w:tc>
      </w:tr>
      <w:tr w:rsidR="00C03DFF" w:rsidRPr="00C03DFF" w14:paraId="7B192767" w14:textId="77777777">
        <w:tblPrEx>
          <w:tblCellMar>
            <w:top w:w="0" w:type="dxa"/>
            <w:bottom w:w="0" w:type="dxa"/>
          </w:tblCellMar>
        </w:tblPrEx>
        <w:tc>
          <w:tcPr>
            <w:tcW w:w="1247" w:type="dxa"/>
          </w:tcPr>
          <w:p w14:paraId="26E965CB" w14:textId="77777777" w:rsidR="00C03DFF" w:rsidRPr="00C03DFF" w:rsidRDefault="00C03DFF" w:rsidP="00C03DFF">
            <w:pPr>
              <w:rPr>
                <w:rFonts w:cs="Frankruhel" w:hint="cs"/>
                <w:rtl/>
              </w:rPr>
            </w:pPr>
          </w:p>
        </w:tc>
        <w:tc>
          <w:tcPr>
            <w:tcW w:w="5669" w:type="dxa"/>
          </w:tcPr>
          <w:p w14:paraId="62F2E2F4" w14:textId="77777777" w:rsidR="00C03DFF" w:rsidRPr="00C03DFF" w:rsidRDefault="00C03DFF" w:rsidP="00C03DFF">
            <w:pPr>
              <w:rPr>
                <w:rFonts w:cs="Frankruhel" w:hint="cs"/>
                <w:rtl/>
              </w:rPr>
            </w:pPr>
            <w:r>
              <w:rPr>
                <w:rtl/>
              </w:rPr>
              <w:t>סעיף 1</w:t>
            </w:r>
          </w:p>
        </w:tc>
        <w:tc>
          <w:tcPr>
            <w:tcW w:w="567" w:type="dxa"/>
          </w:tcPr>
          <w:p w14:paraId="1AF98C0D" w14:textId="77777777" w:rsidR="00C03DFF" w:rsidRPr="00C03DFF" w:rsidRDefault="00C03DFF" w:rsidP="00C03DFF">
            <w:pPr>
              <w:rPr>
                <w:rStyle w:val="Hyperlink"/>
                <w:rFonts w:hint="cs"/>
                <w:rtl/>
              </w:rPr>
            </w:pPr>
            <w:hyperlink w:anchor="med7" w:tooltip="סעיף 1" w:history="1">
              <w:r w:rsidRPr="00C03DFF">
                <w:rPr>
                  <w:rStyle w:val="Hyperlink"/>
                </w:rPr>
                <w:t>Go</w:t>
              </w:r>
            </w:hyperlink>
          </w:p>
        </w:tc>
        <w:tc>
          <w:tcPr>
            <w:tcW w:w="850" w:type="dxa"/>
          </w:tcPr>
          <w:p w14:paraId="727E874A"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6</w:t>
            </w:r>
            <w:r>
              <w:rPr>
                <w:rFonts w:cs="Frankruhel"/>
                <w:rtl/>
              </w:rPr>
              <w:fldChar w:fldCharType="end"/>
            </w:r>
          </w:p>
        </w:tc>
      </w:tr>
      <w:tr w:rsidR="00C03DFF" w:rsidRPr="00C03DFF" w14:paraId="2E8CF86A" w14:textId="77777777">
        <w:tblPrEx>
          <w:tblCellMar>
            <w:top w:w="0" w:type="dxa"/>
            <w:bottom w:w="0" w:type="dxa"/>
          </w:tblCellMar>
        </w:tblPrEx>
        <w:tc>
          <w:tcPr>
            <w:tcW w:w="1247" w:type="dxa"/>
          </w:tcPr>
          <w:p w14:paraId="0F098EA3" w14:textId="77777777" w:rsidR="00C03DFF" w:rsidRPr="00C03DFF" w:rsidRDefault="00C03DFF" w:rsidP="00C03DFF">
            <w:pPr>
              <w:rPr>
                <w:rFonts w:cs="Frankruhel" w:hint="cs"/>
                <w:rtl/>
              </w:rPr>
            </w:pPr>
          </w:p>
        </w:tc>
        <w:tc>
          <w:tcPr>
            <w:tcW w:w="5669" w:type="dxa"/>
          </w:tcPr>
          <w:p w14:paraId="7CB1AC32" w14:textId="77777777" w:rsidR="00C03DFF" w:rsidRPr="00C03DFF" w:rsidRDefault="00C03DFF" w:rsidP="00C03DFF">
            <w:pPr>
              <w:rPr>
                <w:rFonts w:cs="Frankruhel" w:hint="cs"/>
                <w:rtl/>
              </w:rPr>
            </w:pPr>
            <w:r>
              <w:rPr>
                <w:rtl/>
              </w:rPr>
              <w:t>סעיף 2</w:t>
            </w:r>
          </w:p>
        </w:tc>
        <w:tc>
          <w:tcPr>
            <w:tcW w:w="567" w:type="dxa"/>
          </w:tcPr>
          <w:p w14:paraId="47280814" w14:textId="77777777" w:rsidR="00C03DFF" w:rsidRPr="00C03DFF" w:rsidRDefault="00C03DFF" w:rsidP="00C03DFF">
            <w:pPr>
              <w:rPr>
                <w:rStyle w:val="Hyperlink"/>
                <w:rFonts w:hint="cs"/>
                <w:rtl/>
              </w:rPr>
            </w:pPr>
            <w:hyperlink w:anchor="med8" w:tooltip="סעיף 2" w:history="1">
              <w:r w:rsidRPr="00C03DFF">
                <w:rPr>
                  <w:rStyle w:val="Hyperlink"/>
                </w:rPr>
                <w:t>Go</w:t>
              </w:r>
            </w:hyperlink>
          </w:p>
        </w:tc>
        <w:tc>
          <w:tcPr>
            <w:tcW w:w="850" w:type="dxa"/>
          </w:tcPr>
          <w:p w14:paraId="65CAC24D"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6</w:t>
            </w:r>
            <w:r>
              <w:rPr>
                <w:rFonts w:cs="Frankruhel"/>
                <w:rtl/>
              </w:rPr>
              <w:fldChar w:fldCharType="end"/>
            </w:r>
          </w:p>
        </w:tc>
      </w:tr>
      <w:tr w:rsidR="00C03DFF" w:rsidRPr="00C03DFF" w14:paraId="61D8D680" w14:textId="77777777">
        <w:tblPrEx>
          <w:tblCellMar>
            <w:top w:w="0" w:type="dxa"/>
            <w:bottom w:w="0" w:type="dxa"/>
          </w:tblCellMar>
        </w:tblPrEx>
        <w:tc>
          <w:tcPr>
            <w:tcW w:w="1247" w:type="dxa"/>
          </w:tcPr>
          <w:p w14:paraId="7122B852" w14:textId="77777777" w:rsidR="00C03DFF" w:rsidRPr="00C03DFF" w:rsidRDefault="00C03DFF" w:rsidP="00C03DFF">
            <w:pPr>
              <w:rPr>
                <w:rFonts w:cs="Frankruhel" w:hint="cs"/>
                <w:rtl/>
              </w:rPr>
            </w:pPr>
          </w:p>
        </w:tc>
        <w:tc>
          <w:tcPr>
            <w:tcW w:w="5669" w:type="dxa"/>
          </w:tcPr>
          <w:p w14:paraId="5C061C5F" w14:textId="77777777" w:rsidR="00C03DFF" w:rsidRPr="00C03DFF" w:rsidRDefault="00C03DFF" w:rsidP="00C03DFF">
            <w:pPr>
              <w:rPr>
                <w:rFonts w:cs="Frankruhel" w:hint="cs"/>
                <w:rtl/>
              </w:rPr>
            </w:pPr>
            <w:r>
              <w:rPr>
                <w:rtl/>
              </w:rPr>
              <w:t>סעיף 3</w:t>
            </w:r>
          </w:p>
        </w:tc>
        <w:tc>
          <w:tcPr>
            <w:tcW w:w="567" w:type="dxa"/>
          </w:tcPr>
          <w:p w14:paraId="717B48A4" w14:textId="77777777" w:rsidR="00C03DFF" w:rsidRPr="00C03DFF" w:rsidRDefault="00C03DFF" w:rsidP="00C03DFF">
            <w:pPr>
              <w:rPr>
                <w:rStyle w:val="Hyperlink"/>
                <w:rFonts w:hint="cs"/>
                <w:rtl/>
              </w:rPr>
            </w:pPr>
            <w:hyperlink w:anchor="med9" w:tooltip="סעיף 3" w:history="1">
              <w:r w:rsidRPr="00C03DFF">
                <w:rPr>
                  <w:rStyle w:val="Hyperlink"/>
                </w:rPr>
                <w:t>Go</w:t>
              </w:r>
            </w:hyperlink>
          </w:p>
        </w:tc>
        <w:tc>
          <w:tcPr>
            <w:tcW w:w="850" w:type="dxa"/>
          </w:tcPr>
          <w:p w14:paraId="219EBD82"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6</w:t>
            </w:r>
            <w:r>
              <w:rPr>
                <w:rFonts w:cs="Frankruhel"/>
                <w:rtl/>
              </w:rPr>
              <w:fldChar w:fldCharType="end"/>
            </w:r>
          </w:p>
        </w:tc>
      </w:tr>
      <w:tr w:rsidR="00C03DFF" w:rsidRPr="00C03DFF" w14:paraId="7B77A824" w14:textId="77777777">
        <w:tblPrEx>
          <w:tblCellMar>
            <w:top w:w="0" w:type="dxa"/>
            <w:bottom w:w="0" w:type="dxa"/>
          </w:tblCellMar>
        </w:tblPrEx>
        <w:tc>
          <w:tcPr>
            <w:tcW w:w="1247" w:type="dxa"/>
          </w:tcPr>
          <w:p w14:paraId="56A9E821" w14:textId="77777777" w:rsidR="00C03DFF" w:rsidRPr="00C03DFF" w:rsidRDefault="00C03DFF" w:rsidP="00C03DFF">
            <w:pPr>
              <w:rPr>
                <w:rFonts w:cs="Frankruhel" w:hint="cs"/>
                <w:rtl/>
              </w:rPr>
            </w:pPr>
          </w:p>
        </w:tc>
        <w:tc>
          <w:tcPr>
            <w:tcW w:w="5669" w:type="dxa"/>
          </w:tcPr>
          <w:p w14:paraId="4F3B2EF3" w14:textId="77777777" w:rsidR="00C03DFF" w:rsidRPr="00C03DFF" w:rsidRDefault="00C03DFF" w:rsidP="00C03DFF">
            <w:pPr>
              <w:rPr>
                <w:rFonts w:cs="Frankruhel" w:hint="cs"/>
                <w:rtl/>
              </w:rPr>
            </w:pPr>
            <w:r>
              <w:rPr>
                <w:rtl/>
              </w:rPr>
              <w:t>סעיף 4</w:t>
            </w:r>
          </w:p>
        </w:tc>
        <w:tc>
          <w:tcPr>
            <w:tcW w:w="567" w:type="dxa"/>
          </w:tcPr>
          <w:p w14:paraId="2C850EDF" w14:textId="77777777" w:rsidR="00C03DFF" w:rsidRPr="00C03DFF" w:rsidRDefault="00C03DFF" w:rsidP="00C03DFF">
            <w:pPr>
              <w:rPr>
                <w:rStyle w:val="Hyperlink"/>
                <w:rFonts w:hint="cs"/>
                <w:rtl/>
              </w:rPr>
            </w:pPr>
            <w:hyperlink w:anchor="med10" w:tooltip="סעיף 4" w:history="1">
              <w:r w:rsidRPr="00C03DFF">
                <w:rPr>
                  <w:rStyle w:val="Hyperlink"/>
                </w:rPr>
                <w:t>Go</w:t>
              </w:r>
            </w:hyperlink>
          </w:p>
        </w:tc>
        <w:tc>
          <w:tcPr>
            <w:tcW w:w="850" w:type="dxa"/>
          </w:tcPr>
          <w:p w14:paraId="07985EC0"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7</w:t>
            </w:r>
            <w:r>
              <w:rPr>
                <w:rFonts w:cs="Frankruhel"/>
                <w:rtl/>
              </w:rPr>
              <w:fldChar w:fldCharType="end"/>
            </w:r>
          </w:p>
        </w:tc>
      </w:tr>
      <w:tr w:rsidR="00C03DFF" w:rsidRPr="00C03DFF" w14:paraId="224A5FC5" w14:textId="77777777">
        <w:tblPrEx>
          <w:tblCellMar>
            <w:top w:w="0" w:type="dxa"/>
            <w:bottom w:w="0" w:type="dxa"/>
          </w:tblCellMar>
        </w:tblPrEx>
        <w:tc>
          <w:tcPr>
            <w:tcW w:w="1247" w:type="dxa"/>
          </w:tcPr>
          <w:p w14:paraId="387A565A" w14:textId="77777777" w:rsidR="00C03DFF" w:rsidRPr="00C03DFF" w:rsidRDefault="00C03DFF" w:rsidP="00C03DFF">
            <w:pPr>
              <w:rPr>
                <w:rFonts w:cs="Frankruhel" w:hint="cs"/>
                <w:rtl/>
              </w:rPr>
            </w:pPr>
          </w:p>
        </w:tc>
        <w:tc>
          <w:tcPr>
            <w:tcW w:w="5669" w:type="dxa"/>
          </w:tcPr>
          <w:p w14:paraId="484F9C7A" w14:textId="77777777" w:rsidR="00C03DFF" w:rsidRPr="00C03DFF" w:rsidRDefault="00C03DFF" w:rsidP="00C03DFF">
            <w:pPr>
              <w:rPr>
                <w:rFonts w:cs="Frankruhel" w:hint="cs"/>
                <w:rtl/>
              </w:rPr>
            </w:pPr>
            <w:r>
              <w:rPr>
                <w:rtl/>
              </w:rPr>
              <w:t>סעיף 5</w:t>
            </w:r>
          </w:p>
        </w:tc>
        <w:tc>
          <w:tcPr>
            <w:tcW w:w="567" w:type="dxa"/>
          </w:tcPr>
          <w:p w14:paraId="3132CFBC" w14:textId="77777777" w:rsidR="00C03DFF" w:rsidRPr="00C03DFF" w:rsidRDefault="00C03DFF" w:rsidP="00C03DFF">
            <w:pPr>
              <w:rPr>
                <w:rStyle w:val="Hyperlink"/>
                <w:rFonts w:hint="cs"/>
                <w:rtl/>
              </w:rPr>
            </w:pPr>
            <w:hyperlink w:anchor="med11" w:tooltip="סעיף 5" w:history="1">
              <w:r w:rsidRPr="00C03DFF">
                <w:rPr>
                  <w:rStyle w:val="Hyperlink"/>
                </w:rPr>
                <w:t>Go</w:t>
              </w:r>
            </w:hyperlink>
          </w:p>
        </w:tc>
        <w:tc>
          <w:tcPr>
            <w:tcW w:w="850" w:type="dxa"/>
          </w:tcPr>
          <w:p w14:paraId="055829DB"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7</w:t>
            </w:r>
            <w:r>
              <w:rPr>
                <w:rFonts w:cs="Frankruhel"/>
                <w:rtl/>
              </w:rPr>
              <w:fldChar w:fldCharType="end"/>
            </w:r>
          </w:p>
        </w:tc>
      </w:tr>
      <w:tr w:rsidR="00C03DFF" w:rsidRPr="00C03DFF" w14:paraId="5E85CD06" w14:textId="77777777">
        <w:tblPrEx>
          <w:tblCellMar>
            <w:top w:w="0" w:type="dxa"/>
            <w:bottom w:w="0" w:type="dxa"/>
          </w:tblCellMar>
        </w:tblPrEx>
        <w:tc>
          <w:tcPr>
            <w:tcW w:w="1247" w:type="dxa"/>
          </w:tcPr>
          <w:p w14:paraId="1A48DEA9" w14:textId="77777777" w:rsidR="00C03DFF" w:rsidRPr="00C03DFF" w:rsidRDefault="00C03DFF" w:rsidP="00C03DFF">
            <w:pPr>
              <w:rPr>
                <w:rFonts w:cs="Frankruhel" w:hint="cs"/>
                <w:rtl/>
              </w:rPr>
            </w:pPr>
          </w:p>
        </w:tc>
        <w:tc>
          <w:tcPr>
            <w:tcW w:w="5669" w:type="dxa"/>
          </w:tcPr>
          <w:p w14:paraId="7892C7EB" w14:textId="77777777" w:rsidR="00C03DFF" w:rsidRPr="00C03DFF" w:rsidRDefault="00C03DFF" w:rsidP="00C03DFF">
            <w:pPr>
              <w:rPr>
                <w:rFonts w:cs="Frankruhel" w:hint="cs"/>
                <w:rtl/>
              </w:rPr>
            </w:pPr>
            <w:r>
              <w:rPr>
                <w:rtl/>
              </w:rPr>
              <w:t>סעיף 6</w:t>
            </w:r>
          </w:p>
        </w:tc>
        <w:tc>
          <w:tcPr>
            <w:tcW w:w="567" w:type="dxa"/>
          </w:tcPr>
          <w:p w14:paraId="320C6A00" w14:textId="77777777" w:rsidR="00C03DFF" w:rsidRPr="00C03DFF" w:rsidRDefault="00C03DFF" w:rsidP="00C03DFF">
            <w:pPr>
              <w:rPr>
                <w:rStyle w:val="Hyperlink"/>
                <w:rFonts w:hint="cs"/>
                <w:rtl/>
              </w:rPr>
            </w:pPr>
            <w:hyperlink w:anchor="med12" w:tooltip="סעיף 6" w:history="1">
              <w:r w:rsidRPr="00C03DFF">
                <w:rPr>
                  <w:rStyle w:val="Hyperlink"/>
                </w:rPr>
                <w:t>Go</w:t>
              </w:r>
            </w:hyperlink>
          </w:p>
        </w:tc>
        <w:tc>
          <w:tcPr>
            <w:tcW w:w="850" w:type="dxa"/>
          </w:tcPr>
          <w:p w14:paraId="214B3D92"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7</w:t>
            </w:r>
            <w:r>
              <w:rPr>
                <w:rFonts w:cs="Frankruhel"/>
                <w:rtl/>
              </w:rPr>
              <w:fldChar w:fldCharType="end"/>
            </w:r>
          </w:p>
        </w:tc>
      </w:tr>
      <w:tr w:rsidR="00C03DFF" w:rsidRPr="00C03DFF" w14:paraId="74C451B5" w14:textId="77777777">
        <w:tblPrEx>
          <w:tblCellMar>
            <w:top w:w="0" w:type="dxa"/>
            <w:bottom w:w="0" w:type="dxa"/>
          </w:tblCellMar>
        </w:tblPrEx>
        <w:tc>
          <w:tcPr>
            <w:tcW w:w="1247" w:type="dxa"/>
          </w:tcPr>
          <w:p w14:paraId="4E1747DB" w14:textId="77777777" w:rsidR="00C03DFF" w:rsidRPr="00C03DFF" w:rsidRDefault="00C03DFF" w:rsidP="00C03DFF">
            <w:pPr>
              <w:rPr>
                <w:rFonts w:cs="Frankruhel" w:hint="cs"/>
                <w:rtl/>
              </w:rPr>
            </w:pPr>
          </w:p>
        </w:tc>
        <w:tc>
          <w:tcPr>
            <w:tcW w:w="5669" w:type="dxa"/>
          </w:tcPr>
          <w:p w14:paraId="6E2C6CE1" w14:textId="77777777" w:rsidR="00C03DFF" w:rsidRPr="00C03DFF" w:rsidRDefault="00C03DFF" w:rsidP="00C03DFF">
            <w:pPr>
              <w:rPr>
                <w:rFonts w:cs="Frankruhel" w:hint="cs"/>
                <w:rtl/>
              </w:rPr>
            </w:pPr>
            <w:r>
              <w:rPr>
                <w:rtl/>
              </w:rPr>
              <w:t>סעיף 7</w:t>
            </w:r>
          </w:p>
        </w:tc>
        <w:tc>
          <w:tcPr>
            <w:tcW w:w="567" w:type="dxa"/>
          </w:tcPr>
          <w:p w14:paraId="3959E927" w14:textId="77777777" w:rsidR="00C03DFF" w:rsidRPr="00C03DFF" w:rsidRDefault="00C03DFF" w:rsidP="00C03DFF">
            <w:pPr>
              <w:rPr>
                <w:rStyle w:val="Hyperlink"/>
                <w:rFonts w:hint="cs"/>
                <w:rtl/>
              </w:rPr>
            </w:pPr>
            <w:hyperlink w:anchor="med13" w:tooltip="סעיף 7" w:history="1">
              <w:r w:rsidRPr="00C03DFF">
                <w:rPr>
                  <w:rStyle w:val="Hyperlink"/>
                </w:rPr>
                <w:t>Go</w:t>
              </w:r>
            </w:hyperlink>
          </w:p>
        </w:tc>
        <w:tc>
          <w:tcPr>
            <w:tcW w:w="850" w:type="dxa"/>
          </w:tcPr>
          <w:p w14:paraId="495248EC"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7</w:t>
            </w:r>
            <w:r>
              <w:rPr>
                <w:rFonts w:cs="Frankruhel"/>
                <w:rtl/>
              </w:rPr>
              <w:fldChar w:fldCharType="end"/>
            </w:r>
          </w:p>
        </w:tc>
      </w:tr>
      <w:tr w:rsidR="00C03DFF" w:rsidRPr="00C03DFF" w14:paraId="27A85A9C" w14:textId="77777777">
        <w:tblPrEx>
          <w:tblCellMar>
            <w:top w:w="0" w:type="dxa"/>
            <w:bottom w:w="0" w:type="dxa"/>
          </w:tblCellMar>
        </w:tblPrEx>
        <w:tc>
          <w:tcPr>
            <w:tcW w:w="1247" w:type="dxa"/>
          </w:tcPr>
          <w:p w14:paraId="2A7F9400" w14:textId="77777777" w:rsidR="00C03DFF" w:rsidRPr="00C03DFF" w:rsidRDefault="00C03DFF" w:rsidP="00C03DFF">
            <w:pPr>
              <w:rPr>
                <w:rFonts w:cs="Frankruhel" w:hint="cs"/>
                <w:rtl/>
              </w:rPr>
            </w:pPr>
          </w:p>
        </w:tc>
        <w:tc>
          <w:tcPr>
            <w:tcW w:w="5669" w:type="dxa"/>
          </w:tcPr>
          <w:p w14:paraId="7B5D9897" w14:textId="77777777" w:rsidR="00C03DFF" w:rsidRPr="00C03DFF" w:rsidRDefault="00C03DFF" w:rsidP="00C03DFF">
            <w:pPr>
              <w:rPr>
                <w:rFonts w:cs="Frankruhel" w:hint="cs"/>
                <w:rtl/>
              </w:rPr>
            </w:pPr>
            <w:r>
              <w:rPr>
                <w:rtl/>
              </w:rPr>
              <w:t>סעיף 8</w:t>
            </w:r>
          </w:p>
        </w:tc>
        <w:tc>
          <w:tcPr>
            <w:tcW w:w="567" w:type="dxa"/>
          </w:tcPr>
          <w:p w14:paraId="50B3DBD4" w14:textId="77777777" w:rsidR="00C03DFF" w:rsidRPr="00C03DFF" w:rsidRDefault="00C03DFF" w:rsidP="00C03DFF">
            <w:pPr>
              <w:rPr>
                <w:rStyle w:val="Hyperlink"/>
                <w:rFonts w:hint="cs"/>
                <w:rtl/>
              </w:rPr>
            </w:pPr>
            <w:hyperlink w:anchor="med14" w:tooltip="סעיף 8" w:history="1">
              <w:r w:rsidRPr="00C03DFF">
                <w:rPr>
                  <w:rStyle w:val="Hyperlink"/>
                </w:rPr>
                <w:t>Go</w:t>
              </w:r>
            </w:hyperlink>
          </w:p>
        </w:tc>
        <w:tc>
          <w:tcPr>
            <w:tcW w:w="850" w:type="dxa"/>
          </w:tcPr>
          <w:p w14:paraId="1F054157"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8</w:t>
            </w:r>
            <w:r>
              <w:rPr>
                <w:rFonts w:cs="Frankruhel"/>
                <w:rtl/>
              </w:rPr>
              <w:fldChar w:fldCharType="end"/>
            </w:r>
          </w:p>
        </w:tc>
      </w:tr>
      <w:tr w:rsidR="00C03DFF" w:rsidRPr="00C03DFF" w14:paraId="42286714" w14:textId="77777777">
        <w:tblPrEx>
          <w:tblCellMar>
            <w:top w:w="0" w:type="dxa"/>
            <w:bottom w:w="0" w:type="dxa"/>
          </w:tblCellMar>
        </w:tblPrEx>
        <w:tc>
          <w:tcPr>
            <w:tcW w:w="1247" w:type="dxa"/>
          </w:tcPr>
          <w:p w14:paraId="00A8C866" w14:textId="77777777" w:rsidR="00C03DFF" w:rsidRPr="00C03DFF" w:rsidRDefault="00C03DFF" w:rsidP="00C03DFF">
            <w:pPr>
              <w:rPr>
                <w:rFonts w:cs="Frankruhel" w:hint="cs"/>
                <w:rtl/>
              </w:rPr>
            </w:pPr>
          </w:p>
        </w:tc>
        <w:tc>
          <w:tcPr>
            <w:tcW w:w="5669" w:type="dxa"/>
          </w:tcPr>
          <w:p w14:paraId="661CAD98" w14:textId="77777777" w:rsidR="00C03DFF" w:rsidRPr="00C03DFF" w:rsidRDefault="00C03DFF" w:rsidP="00C03DFF">
            <w:pPr>
              <w:rPr>
                <w:rFonts w:cs="Frankruhel" w:hint="cs"/>
                <w:rtl/>
              </w:rPr>
            </w:pPr>
            <w:r>
              <w:rPr>
                <w:rtl/>
              </w:rPr>
              <w:t>סעיף 9</w:t>
            </w:r>
          </w:p>
        </w:tc>
        <w:tc>
          <w:tcPr>
            <w:tcW w:w="567" w:type="dxa"/>
          </w:tcPr>
          <w:p w14:paraId="753C976E" w14:textId="77777777" w:rsidR="00C03DFF" w:rsidRPr="00C03DFF" w:rsidRDefault="00C03DFF" w:rsidP="00C03DFF">
            <w:pPr>
              <w:rPr>
                <w:rStyle w:val="Hyperlink"/>
                <w:rFonts w:hint="cs"/>
                <w:rtl/>
              </w:rPr>
            </w:pPr>
            <w:hyperlink w:anchor="med15" w:tooltip="סעיף 9" w:history="1">
              <w:r w:rsidRPr="00C03DFF">
                <w:rPr>
                  <w:rStyle w:val="Hyperlink"/>
                </w:rPr>
                <w:t>Go</w:t>
              </w:r>
            </w:hyperlink>
          </w:p>
        </w:tc>
        <w:tc>
          <w:tcPr>
            <w:tcW w:w="850" w:type="dxa"/>
          </w:tcPr>
          <w:p w14:paraId="308A3BE4"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8</w:t>
            </w:r>
            <w:r>
              <w:rPr>
                <w:rFonts w:cs="Frankruhel"/>
                <w:rtl/>
              </w:rPr>
              <w:fldChar w:fldCharType="end"/>
            </w:r>
          </w:p>
        </w:tc>
      </w:tr>
      <w:tr w:rsidR="00C03DFF" w:rsidRPr="00C03DFF" w14:paraId="57DEB61B" w14:textId="77777777">
        <w:tblPrEx>
          <w:tblCellMar>
            <w:top w:w="0" w:type="dxa"/>
            <w:bottom w:w="0" w:type="dxa"/>
          </w:tblCellMar>
        </w:tblPrEx>
        <w:tc>
          <w:tcPr>
            <w:tcW w:w="1247" w:type="dxa"/>
          </w:tcPr>
          <w:p w14:paraId="23074E86" w14:textId="77777777" w:rsidR="00C03DFF" w:rsidRPr="00C03DFF" w:rsidRDefault="00C03DFF" w:rsidP="00C03DFF">
            <w:pPr>
              <w:rPr>
                <w:rFonts w:cs="Frankruhel" w:hint="cs"/>
                <w:rtl/>
              </w:rPr>
            </w:pPr>
          </w:p>
        </w:tc>
        <w:tc>
          <w:tcPr>
            <w:tcW w:w="5669" w:type="dxa"/>
          </w:tcPr>
          <w:p w14:paraId="6A5C1F80" w14:textId="77777777" w:rsidR="00C03DFF" w:rsidRPr="00C03DFF" w:rsidRDefault="00C03DFF" w:rsidP="00C03DFF">
            <w:pPr>
              <w:rPr>
                <w:rFonts w:cs="Frankruhel" w:hint="cs"/>
                <w:rtl/>
              </w:rPr>
            </w:pPr>
            <w:r>
              <w:rPr>
                <w:rtl/>
              </w:rPr>
              <w:t>סעיף 10</w:t>
            </w:r>
          </w:p>
        </w:tc>
        <w:tc>
          <w:tcPr>
            <w:tcW w:w="567" w:type="dxa"/>
          </w:tcPr>
          <w:p w14:paraId="6B3173DF" w14:textId="77777777" w:rsidR="00C03DFF" w:rsidRPr="00C03DFF" w:rsidRDefault="00C03DFF" w:rsidP="00C03DFF">
            <w:pPr>
              <w:rPr>
                <w:rStyle w:val="Hyperlink"/>
                <w:rFonts w:hint="cs"/>
                <w:rtl/>
              </w:rPr>
            </w:pPr>
            <w:hyperlink w:anchor="med16" w:tooltip="סעיף 10" w:history="1">
              <w:r w:rsidRPr="00C03DFF">
                <w:rPr>
                  <w:rStyle w:val="Hyperlink"/>
                </w:rPr>
                <w:t>Go</w:t>
              </w:r>
            </w:hyperlink>
          </w:p>
        </w:tc>
        <w:tc>
          <w:tcPr>
            <w:tcW w:w="850" w:type="dxa"/>
          </w:tcPr>
          <w:p w14:paraId="6337344F"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8</w:t>
            </w:r>
            <w:r>
              <w:rPr>
                <w:rFonts w:cs="Frankruhel"/>
                <w:rtl/>
              </w:rPr>
              <w:fldChar w:fldCharType="end"/>
            </w:r>
          </w:p>
        </w:tc>
      </w:tr>
      <w:tr w:rsidR="00C03DFF" w:rsidRPr="00C03DFF" w14:paraId="5E41E6D9" w14:textId="77777777">
        <w:tblPrEx>
          <w:tblCellMar>
            <w:top w:w="0" w:type="dxa"/>
            <w:bottom w:w="0" w:type="dxa"/>
          </w:tblCellMar>
        </w:tblPrEx>
        <w:tc>
          <w:tcPr>
            <w:tcW w:w="1247" w:type="dxa"/>
          </w:tcPr>
          <w:p w14:paraId="15FD09DF" w14:textId="77777777" w:rsidR="00C03DFF" w:rsidRPr="00C03DFF" w:rsidRDefault="00C03DFF" w:rsidP="00C03DFF">
            <w:pPr>
              <w:rPr>
                <w:rFonts w:cs="Frankruhel" w:hint="cs"/>
                <w:rtl/>
              </w:rPr>
            </w:pPr>
          </w:p>
        </w:tc>
        <w:tc>
          <w:tcPr>
            <w:tcW w:w="5669" w:type="dxa"/>
          </w:tcPr>
          <w:p w14:paraId="27705E3F" w14:textId="77777777" w:rsidR="00C03DFF" w:rsidRPr="00C03DFF" w:rsidRDefault="00C03DFF" w:rsidP="00C03DFF">
            <w:pPr>
              <w:rPr>
                <w:rFonts w:cs="Frankruhel" w:hint="cs"/>
                <w:rtl/>
              </w:rPr>
            </w:pPr>
            <w:r>
              <w:rPr>
                <w:rtl/>
              </w:rPr>
              <w:t>סעיף 11</w:t>
            </w:r>
          </w:p>
        </w:tc>
        <w:tc>
          <w:tcPr>
            <w:tcW w:w="567" w:type="dxa"/>
          </w:tcPr>
          <w:p w14:paraId="1CDC4D23" w14:textId="77777777" w:rsidR="00C03DFF" w:rsidRPr="00C03DFF" w:rsidRDefault="00C03DFF" w:rsidP="00C03DFF">
            <w:pPr>
              <w:rPr>
                <w:rStyle w:val="Hyperlink"/>
                <w:rFonts w:hint="cs"/>
                <w:rtl/>
              </w:rPr>
            </w:pPr>
            <w:hyperlink w:anchor="med17" w:tooltip="סעיף 11" w:history="1">
              <w:r w:rsidRPr="00C03DFF">
                <w:rPr>
                  <w:rStyle w:val="Hyperlink"/>
                </w:rPr>
                <w:t>Go</w:t>
              </w:r>
            </w:hyperlink>
          </w:p>
        </w:tc>
        <w:tc>
          <w:tcPr>
            <w:tcW w:w="850" w:type="dxa"/>
          </w:tcPr>
          <w:p w14:paraId="4A87FEAC"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8</w:t>
            </w:r>
            <w:r>
              <w:rPr>
                <w:rFonts w:cs="Frankruhel"/>
                <w:rtl/>
              </w:rPr>
              <w:fldChar w:fldCharType="end"/>
            </w:r>
          </w:p>
        </w:tc>
      </w:tr>
      <w:tr w:rsidR="00C03DFF" w:rsidRPr="00C03DFF" w14:paraId="1FBBD823" w14:textId="77777777">
        <w:tblPrEx>
          <w:tblCellMar>
            <w:top w:w="0" w:type="dxa"/>
            <w:bottom w:w="0" w:type="dxa"/>
          </w:tblCellMar>
        </w:tblPrEx>
        <w:tc>
          <w:tcPr>
            <w:tcW w:w="1247" w:type="dxa"/>
          </w:tcPr>
          <w:p w14:paraId="2141EEEC" w14:textId="77777777" w:rsidR="00C03DFF" w:rsidRPr="00C03DFF" w:rsidRDefault="00C03DFF" w:rsidP="00C03DFF">
            <w:pPr>
              <w:rPr>
                <w:rFonts w:cs="Frankruhel" w:hint="cs"/>
                <w:rtl/>
              </w:rPr>
            </w:pPr>
          </w:p>
        </w:tc>
        <w:tc>
          <w:tcPr>
            <w:tcW w:w="5669" w:type="dxa"/>
          </w:tcPr>
          <w:p w14:paraId="79779046" w14:textId="77777777" w:rsidR="00C03DFF" w:rsidRPr="00C03DFF" w:rsidRDefault="00C03DFF" w:rsidP="00C03DFF">
            <w:pPr>
              <w:rPr>
                <w:rFonts w:cs="Frankruhel" w:hint="cs"/>
                <w:rtl/>
              </w:rPr>
            </w:pPr>
            <w:r>
              <w:rPr>
                <w:rtl/>
              </w:rPr>
              <w:t>סעיף 12</w:t>
            </w:r>
          </w:p>
        </w:tc>
        <w:tc>
          <w:tcPr>
            <w:tcW w:w="567" w:type="dxa"/>
          </w:tcPr>
          <w:p w14:paraId="7AE6C4A3" w14:textId="77777777" w:rsidR="00C03DFF" w:rsidRPr="00C03DFF" w:rsidRDefault="00C03DFF" w:rsidP="00C03DFF">
            <w:pPr>
              <w:rPr>
                <w:rStyle w:val="Hyperlink"/>
                <w:rFonts w:hint="cs"/>
                <w:rtl/>
              </w:rPr>
            </w:pPr>
            <w:hyperlink w:anchor="med18" w:tooltip="סעיף 12" w:history="1">
              <w:r w:rsidRPr="00C03DFF">
                <w:rPr>
                  <w:rStyle w:val="Hyperlink"/>
                </w:rPr>
                <w:t>Go</w:t>
              </w:r>
            </w:hyperlink>
          </w:p>
        </w:tc>
        <w:tc>
          <w:tcPr>
            <w:tcW w:w="850" w:type="dxa"/>
          </w:tcPr>
          <w:p w14:paraId="0212A11F"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9</w:t>
            </w:r>
            <w:r>
              <w:rPr>
                <w:rFonts w:cs="Frankruhel"/>
                <w:rtl/>
              </w:rPr>
              <w:fldChar w:fldCharType="end"/>
            </w:r>
          </w:p>
        </w:tc>
      </w:tr>
      <w:tr w:rsidR="00C03DFF" w:rsidRPr="00C03DFF" w14:paraId="73FA2C3B" w14:textId="77777777">
        <w:tblPrEx>
          <w:tblCellMar>
            <w:top w:w="0" w:type="dxa"/>
            <w:bottom w:w="0" w:type="dxa"/>
          </w:tblCellMar>
        </w:tblPrEx>
        <w:tc>
          <w:tcPr>
            <w:tcW w:w="1247" w:type="dxa"/>
          </w:tcPr>
          <w:p w14:paraId="045F8133" w14:textId="77777777" w:rsidR="00C03DFF" w:rsidRPr="00C03DFF" w:rsidRDefault="00C03DFF" w:rsidP="00C03DFF">
            <w:pPr>
              <w:rPr>
                <w:rFonts w:cs="Frankruhel" w:hint="cs"/>
                <w:rtl/>
              </w:rPr>
            </w:pPr>
          </w:p>
        </w:tc>
        <w:tc>
          <w:tcPr>
            <w:tcW w:w="5669" w:type="dxa"/>
          </w:tcPr>
          <w:p w14:paraId="5EEC3AC5" w14:textId="77777777" w:rsidR="00C03DFF" w:rsidRPr="00C03DFF" w:rsidRDefault="00C03DFF" w:rsidP="00C03DFF">
            <w:pPr>
              <w:rPr>
                <w:rFonts w:cs="Frankruhel" w:hint="cs"/>
                <w:rtl/>
              </w:rPr>
            </w:pPr>
            <w:r>
              <w:rPr>
                <w:rtl/>
              </w:rPr>
              <w:t>סעיף 13</w:t>
            </w:r>
          </w:p>
        </w:tc>
        <w:tc>
          <w:tcPr>
            <w:tcW w:w="567" w:type="dxa"/>
          </w:tcPr>
          <w:p w14:paraId="27978F14" w14:textId="77777777" w:rsidR="00C03DFF" w:rsidRPr="00C03DFF" w:rsidRDefault="00C03DFF" w:rsidP="00C03DFF">
            <w:pPr>
              <w:rPr>
                <w:rStyle w:val="Hyperlink"/>
                <w:rFonts w:hint="cs"/>
                <w:rtl/>
              </w:rPr>
            </w:pPr>
            <w:hyperlink w:anchor="med19" w:tooltip="סעיף 13" w:history="1">
              <w:r w:rsidRPr="00C03DFF">
                <w:rPr>
                  <w:rStyle w:val="Hyperlink"/>
                </w:rPr>
                <w:t>Go</w:t>
              </w:r>
            </w:hyperlink>
          </w:p>
        </w:tc>
        <w:tc>
          <w:tcPr>
            <w:tcW w:w="850" w:type="dxa"/>
          </w:tcPr>
          <w:p w14:paraId="7C58C13D"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9</w:t>
            </w:r>
            <w:r>
              <w:rPr>
                <w:rFonts w:cs="Frankruhel"/>
                <w:rtl/>
              </w:rPr>
              <w:fldChar w:fldCharType="end"/>
            </w:r>
          </w:p>
        </w:tc>
      </w:tr>
      <w:tr w:rsidR="00C03DFF" w:rsidRPr="00C03DFF" w14:paraId="5788380F" w14:textId="77777777">
        <w:tblPrEx>
          <w:tblCellMar>
            <w:top w:w="0" w:type="dxa"/>
            <w:bottom w:w="0" w:type="dxa"/>
          </w:tblCellMar>
        </w:tblPrEx>
        <w:tc>
          <w:tcPr>
            <w:tcW w:w="1247" w:type="dxa"/>
          </w:tcPr>
          <w:p w14:paraId="5F7FC300" w14:textId="77777777" w:rsidR="00C03DFF" w:rsidRPr="00C03DFF" w:rsidRDefault="00C03DFF" w:rsidP="00C03DFF">
            <w:pPr>
              <w:rPr>
                <w:rFonts w:cs="Frankruhel" w:hint="cs"/>
                <w:rtl/>
              </w:rPr>
            </w:pPr>
          </w:p>
        </w:tc>
        <w:tc>
          <w:tcPr>
            <w:tcW w:w="5669" w:type="dxa"/>
          </w:tcPr>
          <w:p w14:paraId="4368C2AC" w14:textId="77777777" w:rsidR="00C03DFF" w:rsidRPr="00C03DFF" w:rsidRDefault="00C03DFF" w:rsidP="00C03DFF">
            <w:pPr>
              <w:rPr>
                <w:rFonts w:cs="Frankruhel" w:hint="cs"/>
                <w:rtl/>
              </w:rPr>
            </w:pPr>
            <w:r>
              <w:rPr>
                <w:rtl/>
              </w:rPr>
              <w:t>סעיף 14</w:t>
            </w:r>
          </w:p>
        </w:tc>
        <w:tc>
          <w:tcPr>
            <w:tcW w:w="567" w:type="dxa"/>
          </w:tcPr>
          <w:p w14:paraId="25011B00" w14:textId="77777777" w:rsidR="00C03DFF" w:rsidRPr="00C03DFF" w:rsidRDefault="00C03DFF" w:rsidP="00C03DFF">
            <w:pPr>
              <w:rPr>
                <w:rStyle w:val="Hyperlink"/>
                <w:rFonts w:hint="cs"/>
                <w:rtl/>
              </w:rPr>
            </w:pPr>
            <w:hyperlink w:anchor="med20" w:tooltip="סעיף 14" w:history="1">
              <w:r w:rsidRPr="00C03DFF">
                <w:rPr>
                  <w:rStyle w:val="Hyperlink"/>
                </w:rPr>
                <w:t>Go</w:t>
              </w:r>
            </w:hyperlink>
          </w:p>
        </w:tc>
        <w:tc>
          <w:tcPr>
            <w:tcW w:w="850" w:type="dxa"/>
          </w:tcPr>
          <w:p w14:paraId="367592A9"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9</w:t>
            </w:r>
            <w:r>
              <w:rPr>
                <w:rFonts w:cs="Frankruhel"/>
                <w:rtl/>
              </w:rPr>
              <w:fldChar w:fldCharType="end"/>
            </w:r>
          </w:p>
        </w:tc>
      </w:tr>
      <w:tr w:rsidR="00C03DFF" w:rsidRPr="00C03DFF" w14:paraId="523407AC" w14:textId="77777777">
        <w:tblPrEx>
          <w:tblCellMar>
            <w:top w:w="0" w:type="dxa"/>
            <w:bottom w:w="0" w:type="dxa"/>
          </w:tblCellMar>
        </w:tblPrEx>
        <w:tc>
          <w:tcPr>
            <w:tcW w:w="1247" w:type="dxa"/>
          </w:tcPr>
          <w:p w14:paraId="1FDB690C" w14:textId="77777777" w:rsidR="00C03DFF" w:rsidRPr="00C03DFF" w:rsidRDefault="00C03DFF" w:rsidP="00C03DFF">
            <w:pPr>
              <w:rPr>
                <w:rFonts w:cs="Frankruhel" w:hint="cs"/>
                <w:rtl/>
              </w:rPr>
            </w:pPr>
          </w:p>
        </w:tc>
        <w:tc>
          <w:tcPr>
            <w:tcW w:w="5669" w:type="dxa"/>
          </w:tcPr>
          <w:p w14:paraId="3F59C3C8" w14:textId="77777777" w:rsidR="00C03DFF" w:rsidRPr="00C03DFF" w:rsidRDefault="00C03DFF" w:rsidP="00C03DFF">
            <w:pPr>
              <w:rPr>
                <w:rFonts w:cs="Frankruhel" w:hint="cs"/>
                <w:rtl/>
              </w:rPr>
            </w:pPr>
            <w:r>
              <w:rPr>
                <w:rtl/>
              </w:rPr>
              <w:t>סעיף 15</w:t>
            </w:r>
          </w:p>
        </w:tc>
        <w:tc>
          <w:tcPr>
            <w:tcW w:w="567" w:type="dxa"/>
          </w:tcPr>
          <w:p w14:paraId="71B8A200" w14:textId="77777777" w:rsidR="00C03DFF" w:rsidRPr="00C03DFF" w:rsidRDefault="00C03DFF" w:rsidP="00C03DFF">
            <w:pPr>
              <w:rPr>
                <w:rStyle w:val="Hyperlink"/>
                <w:rFonts w:hint="cs"/>
                <w:rtl/>
              </w:rPr>
            </w:pPr>
            <w:hyperlink w:anchor="med21" w:tooltip="סעיף 15" w:history="1">
              <w:r w:rsidRPr="00C03DFF">
                <w:rPr>
                  <w:rStyle w:val="Hyperlink"/>
                </w:rPr>
                <w:t>Go</w:t>
              </w:r>
            </w:hyperlink>
          </w:p>
        </w:tc>
        <w:tc>
          <w:tcPr>
            <w:tcW w:w="850" w:type="dxa"/>
          </w:tcPr>
          <w:p w14:paraId="532BCBBE"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9</w:t>
            </w:r>
            <w:r>
              <w:rPr>
                <w:rFonts w:cs="Frankruhel"/>
                <w:rtl/>
              </w:rPr>
              <w:fldChar w:fldCharType="end"/>
            </w:r>
          </w:p>
        </w:tc>
      </w:tr>
      <w:tr w:rsidR="00C03DFF" w:rsidRPr="00C03DFF" w14:paraId="7F913F66" w14:textId="77777777">
        <w:tblPrEx>
          <w:tblCellMar>
            <w:top w:w="0" w:type="dxa"/>
            <w:bottom w:w="0" w:type="dxa"/>
          </w:tblCellMar>
        </w:tblPrEx>
        <w:tc>
          <w:tcPr>
            <w:tcW w:w="1247" w:type="dxa"/>
          </w:tcPr>
          <w:p w14:paraId="31172E8C" w14:textId="77777777" w:rsidR="00C03DFF" w:rsidRPr="00C03DFF" w:rsidRDefault="00C03DFF" w:rsidP="00C03DFF">
            <w:pPr>
              <w:rPr>
                <w:rFonts w:cs="Frankruhel" w:hint="cs"/>
                <w:rtl/>
              </w:rPr>
            </w:pPr>
          </w:p>
        </w:tc>
        <w:tc>
          <w:tcPr>
            <w:tcW w:w="5669" w:type="dxa"/>
          </w:tcPr>
          <w:p w14:paraId="61617B43" w14:textId="77777777" w:rsidR="00C03DFF" w:rsidRPr="00C03DFF" w:rsidRDefault="00C03DFF" w:rsidP="00C03DFF">
            <w:pPr>
              <w:rPr>
                <w:rFonts w:cs="Frankruhel" w:hint="cs"/>
                <w:rtl/>
              </w:rPr>
            </w:pPr>
            <w:r>
              <w:rPr>
                <w:rtl/>
              </w:rPr>
              <w:t>סעיף 16</w:t>
            </w:r>
          </w:p>
        </w:tc>
        <w:tc>
          <w:tcPr>
            <w:tcW w:w="567" w:type="dxa"/>
          </w:tcPr>
          <w:p w14:paraId="73C2A156" w14:textId="77777777" w:rsidR="00C03DFF" w:rsidRPr="00C03DFF" w:rsidRDefault="00C03DFF" w:rsidP="00C03DFF">
            <w:pPr>
              <w:rPr>
                <w:rStyle w:val="Hyperlink"/>
                <w:rFonts w:hint="cs"/>
                <w:rtl/>
              </w:rPr>
            </w:pPr>
            <w:hyperlink w:anchor="med22" w:tooltip="סעיף 16" w:history="1">
              <w:r w:rsidRPr="00C03DFF">
                <w:rPr>
                  <w:rStyle w:val="Hyperlink"/>
                </w:rPr>
                <w:t>Go</w:t>
              </w:r>
            </w:hyperlink>
          </w:p>
        </w:tc>
        <w:tc>
          <w:tcPr>
            <w:tcW w:w="850" w:type="dxa"/>
          </w:tcPr>
          <w:p w14:paraId="0CB464F2"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med22</w:instrText>
            </w:r>
            <w:r>
              <w:rPr>
                <w:rtl/>
              </w:rPr>
              <w:instrText xml:space="preserve"> </w:instrText>
            </w:r>
            <w:r>
              <w:rPr>
                <w:rFonts w:cs="Frankruhel"/>
                <w:rtl/>
              </w:rPr>
              <w:fldChar w:fldCharType="separate"/>
            </w:r>
            <w:r>
              <w:rPr>
                <w:noProof/>
                <w:rtl/>
              </w:rPr>
              <w:t>10</w:t>
            </w:r>
            <w:r>
              <w:rPr>
                <w:rFonts w:cs="Frankruhel"/>
                <w:rtl/>
              </w:rPr>
              <w:fldChar w:fldCharType="end"/>
            </w:r>
          </w:p>
        </w:tc>
      </w:tr>
      <w:tr w:rsidR="00C03DFF" w:rsidRPr="00C03DFF" w14:paraId="16551C48" w14:textId="77777777">
        <w:tblPrEx>
          <w:tblCellMar>
            <w:top w:w="0" w:type="dxa"/>
            <w:bottom w:w="0" w:type="dxa"/>
          </w:tblCellMar>
        </w:tblPrEx>
        <w:tc>
          <w:tcPr>
            <w:tcW w:w="1247" w:type="dxa"/>
          </w:tcPr>
          <w:p w14:paraId="023A21B2" w14:textId="77777777" w:rsidR="00C03DFF" w:rsidRPr="00C03DFF" w:rsidRDefault="00C03DFF" w:rsidP="00C03DFF">
            <w:pPr>
              <w:rPr>
                <w:rFonts w:cs="Frankruhel" w:hint="cs"/>
                <w:rtl/>
              </w:rPr>
            </w:pPr>
          </w:p>
        </w:tc>
        <w:tc>
          <w:tcPr>
            <w:tcW w:w="5669" w:type="dxa"/>
          </w:tcPr>
          <w:p w14:paraId="0B2B6409" w14:textId="77777777" w:rsidR="00C03DFF" w:rsidRPr="00C03DFF" w:rsidRDefault="00C03DFF" w:rsidP="00C03DFF">
            <w:pPr>
              <w:rPr>
                <w:rFonts w:cs="Frankruhel" w:hint="cs"/>
                <w:rtl/>
              </w:rPr>
            </w:pPr>
            <w:r>
              <w:rPr>
                <w:rtl/>
              </w:rPr>
              <w:t>סעיף 17</w:t>
            </w:r>
          </w:p>
        </w:tc>
        <w:tc>
          <w:tcPr>
            <w:tcW w:w="567" w:type="dxa"/>
          </w:tcPr>
          <w:p w14:paraId="1AA973DB" w14:textId="77777777" w:rsidR="00C03DFF" w:rsidRPr="00C03DFF" w:rsidRDefault="00C03DFF" w:rsidP="00C03DFF">
            <w:pPr>
              <w:rPr>
                <w:rStyle w:val="Hyperlink"/>
                <w:rFonts w:hint="cs"/>
                <w:rtl/>
              </w:rPr>
            </w:pPr>
            <w:hyperlink w:anchor="med23" w:tooltip="סעיף 17" w:history="1">
              <w:r w:rsidRPr="00C03DFF">
                <w:rPr>
                  <w:rStyle w:val="Hyperlink"/>
                </w:rPr>
                <w:t>Go</w:t>
              </w:r>
            </w:hyperlink>
          </w:p>
        </w:tc>
        <w:tc>
          <w:tcPr>
            <w:tcW w:w="850" w:type="dxa"/>
          </w:tcPr>
          <w:p w14:paraId="71CE6712" w14:textId="77777777" w:rsidR="00C03DFF" w:rsidRPr="00C03DFF" w:rsidRDefault="00C03DFF" w:rsidP="00C03D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med23</w:instrText>
            </w:r>
            <w:r>
              <w:rPr>
                <w:rtl/>
              </w:rPr>
              <w:instrText xml:space="preserve"> </w:instrText>
            </w:r>
            <w:r>
              <w:rPr>
                <w:rFonts w:cs="Frankruhel"/>
                <w:rtl/>
              </w:rPr>
              <w:fldChar w:fldCharType="separate"/>
            </w:r>
            <w:r>
              <w:rPr>
                <w:noProof/>
                <w:rtl/>
              </w:rPr>
              <w:t>10</w:t>
            </w:r>
            <w:r>
              <w:rPr>
                <w:rFonts w:cs="Frankruhel"/>
                <w:rtl/>
              </w:rPr>
              <w:fldChar w:fldCharType="end"/>
            </w:r>
          </w:p>
        </w:tc>
      </w:tr>
    </w:tbl>
    <w:p w14:paraId="5A2AC641" w14:textId="77777777" w:rsidR="00332489" w:rsidRDefault="00332489">
      <w:pPr>
        <w:pStyle w:val="big-header"/>
        <w:ind w:left="0" w:right="1134"/>
        <w:rPr>
          <w:rFonts w:cs="FrankRuehl" w:hint="cs"/>
          <w:sz w:val="32"/>
          <w:rtl/>
        </w:rPr>
      </w:pPr>
    </w:p>
    <w:p w14:paraId="36048C1F" w14:textId="77777777" w:rsidR="00332489" w:rsidRPr="00AF5261" w:rsidRDefault="00332489" w:rsidP="006903BD">
      <w:pPr>
        <w:pStyle w:val="big-header"/>
        <w:ind w:left="0" w:right="1134"/>
        <w:rPr>
          <w:rStyle w:val="default"/>
          <w:rFonts w:cs="FrankRuehl" w:hint="cs"/>
          <w:sz w:val="32"/>
          <w:szCs w:val="32"/>
          <w:rtl/>
        </w:rPr>
      </w:pPr>
      <w:r>
        <w:rPr>
          <w:rFonts w:cs="FrankRuehl"/>
          <w:sz w:val="32"/>
          <w:rtl/>
        </w:rPr>
        <w:br w:type="page"/>
      </w:r>
      <w:r w:rsidR="006903BD">
        <w:rPr>
          <w:rFonts w:cs="FrankRuehl" w:hint="cs"/>
          <w:sz w:val="32"/>
          <w:rtl/>
        </w:rPr>
        <w:lastRenderedPageBreak/>
        <w:t>צו חסינויות וזכויות יתר (ארגונים בין-לאומיים ומשלחות מיוחדות) (הארגון האירופי למחקר גרעיני), תשע"ב-2012</w:t>
      </w:r>
      <w:r>
        <w:rPr>
          <w:rStyle w:val="default"/>
          <w:sz w:val="22"/>
          <w:szCs w:val="22"/>
          <w:rtl/>
        </w:rPr>
        <w:footnoteReference w:customMarkFollows="1" w:id="1"/>
        <w:t>*</w:t>
      </w:r>
    </w:p>
    <w:p w14:paraId="6780594D" w14:textId="77777777" w:rsidR="00332489" w:rsidRDefault="00332489">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w:t>
      </w:r>
      <w:r w:rsidR="000A7945">
        <w:rPr>
          <w:rStyle w:val="default"/>
          <w:rFonts w:cs="FrankRuehl" w:hint="cs"/>
          <w:rtl/>
        </w:rPr>
        <w:t>(1)</w:t>
      </w:r>
      <w:r>
        <w:rPr>
          <w:rStyle w:val="default"/>
          <w:rFonts w:cs="FrankRuehl"/>
          <w:rtl/>
        </w:rPr>
        <w:t xml:space="preserve"> לחוק חסינויות וזכויות יתר (ארגונים בין</w:t>
      </w:r>
      <w:r>
        <w:rPr>
          <w:rStyle w:val="default"/>
          <w:rFonts w:cs="FrankRuehl" w:hint="cs"/>
          <w:rtl/>
        </w:rPr>
        <w:t>-</w:t>
      </w:r>
      <w:r>
        <w:rPr>
          <w:rStyle w:val="default"/>
          <w:rFonts w:cs="FrankRuehl"/>
          <w:rtl/>
        </w:rPr>
        <w:t>לאומיים ומשלחות מיוחדות), התשמ"ג</w:t>
      </w:r>
      <w:r>
        <w:rPr>
          <w:rStyle w:val="default"/>
          <w:rFonts w:cs="FrankRuehl" w:hint="cs"/>
          <w:rtl/>
        </w:rPr>
        <w:t>-1983</w:t>
      </w:r>
      <w:r>
        <w:rPr>
          <w:rStyle w:val="default"/>
          <w:rFonts w:cs="FrankRuehl"/>
          <w:rtl/>
        </w:rPr>
        <w:t>, באישור הממשלה</w:t>
      </w:r>
      <w:r w:rsidR="000A7945">
        <w:rPr>
          <w:rStyle w:val="default"/>
          <w:rFonts w:cs="FrankRuehl" w:hint="cs"/>
          <w:rtl/>
        </w:rPr>
        <w:t>,</w:t>
      </w:r>
      <w:r>
        <w:rPr>
          <w:rStyle w:val="default"/>
          <w:rFonts w:cs="FrankRuehl"/>
          <w:rtl/>
        </w:rPr>
        <w:t xml:space="preserve"> ולאחר התייעצות עם היועץ המשפטי לממשלה, </w:t>
      </w:r>
      <w:r w:rsidR="000A7945">
        <w:rPr>
          <w:rStyle w:val="default"/>
          <w:rFonts w:cs="FrankRuehl" w:hint="cs"/>
          <w:rtl/>
        </w:rPr>
        <w:t xml:space="preserve">לפי סעיף 5 לחוק האמור, </w:t>
      </w:r>
      <w:r>
        <w:rPr>
          <w:rStyle w:val="default"/>
          <w:rFonts w:cs="FrankRuehl"/>
          <w:rtl/>
        </w:rPr>
        <w:t>אני מצווה לאמור:</w:t>
      </w:r>
    </w:p>
    <w:p w14:paraId="41EEC939" w14:textId="77777777" w:rsidR="00332489" w:rsidRDefault="00332489" w:rsidP="000A7945">
      <w:pPr>
        <w:pStyle w:val="P00"/>
        <w:spacing w:before="72"/>
        <w:ind w:left="0" w:right="1134"/>
        <w:rPr>
          <w:rStyle w:val="default"/>
          <w:rFonts w:cs="FrankRuehl" w:hint="cs"/>
          <w:rtl/>
        </w:rPr>
      </w:pPr>
      <w:bookmarkStart w:id="0" w:name="Seif1"/>
      <w:bookmarkEnd w:id="0"/>
      <w:r>
        <w:rPr>
          <w:rFonts w:cs="Miriam"/>
          <w:lang w:val="he-IL"/>
        </w:rPr>
        <w:pict w14:anchorId="39FC2BF0">
          <v:rect id="_x0000_s1026" style="position:absolute;left:0;text-align:left;margin-left:464.35pt;margin-top:7.1pt;width:75.05pt;height:12.95pt;z-index:251657216" o:allowincell="f" filled="f" stroked="f" strokecolor="lime" strokeweight=".25pt">
            <v:textbox style="mso-next-textbox:#_x0000_s1026" inset="0,0,0,0">
              <w:txbxContent>
                <w:p w14:paraId="1141FF40" w14:textId="77777777" w:rsidR="003A5FFE" w:rsidRDefault="003A5FFE">
                  <w:pPr>
                    <w:spacing w:line="160" w:lineRule="exact"/>
                    <w:rPr>
                      <w:rFonts w:cs="Miriam" w:hint="cs"/>
                      <w:noProof/>
                      <w:sz w:val="18"/>
                      <w:szCs w:val="18"/>
                      <w:rtl/>
                    </w:rPr>
                  </w:pPr>
                  <w:r>
                    <w:rPr>
                      <w:rFonts w:cs="Miriam" w:hint="cs"/>
                      <w:sz w:val="18"/>
                      <w:szCs w:val="18"/>
                      <w:rtl/>
                    </w:rPr>
                    <w:t>חסינויות וזכויות יתר</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A7945" w:rsidRPr="000A7945">
        <w:rPr>
          <w:rStyle w:val="default"/>
          <w:rFonts w:cs="FrankRuehl" w:hint="cs"/>
          <w:sz w:val="20"/>
          <w:rtl/>
        </w:rPr>
        <w:t>לארגון האירופי למחקר גרעיני (</w:t>
      </w:r>
      <w:r w:rsidR="000A7945" w:rsidRPr="000A7945">
        <w:rPr>
          <w:rStyle w:val="default"/>
          <w:rFonts w:cs="FrankRuehl"/>
          <w:sz w:val="20"/>
        </w:rPr>
        <w:t>CERN</w:t>
      </w:r>
      <w:r w:rsidR="000A7945" w:rsidRPr="000A7945">
        <w:rPr>
          <w:rStyle w:val="default"/>
          <w:rFonts w:cs="FrankRuehl" w:hint="cs"/>
          <w:sz w:val="20"/>
          <w:rtl/>
        </w:rPr>
        <w:t>), לפקידיו</w:t>
      </w:r>
      <w:r w:rsidR="000A7945">
        <w:rPr>
          <w:rStyle w:val="default"/>
          <w:rFonts w:cs="FrankRuehl" w:hint="cs"/>
          <w:sz w:val="20"/>
          <w:rtl/>
        </w:rPr>
        <w:t xml:space="preserve"> ולמזכיר הכללי שלו יוענקו בישראל החסינויות וזכויות היתר המתאימות הנוגעות להם, לפי העניין, המפורטות בנספח להסכם להענקת מעמד של חברות נלווית כשלב מוקדם לחברות בארגון, שנוסחו בעברית מובא בתוספת, שנחתם בין ישראל לארגון ביום 16 בספטמבר 2011.</w:t>
      </w:r>
    </w:p>
    <w:p w14:paraId="00AA58EB" w14:textId="77777777" w:rsidR="00332489" w:rsidRDefault="00332489" w:rsidP="000A7945">
      <w:pPr>
        <w:pStyle w:val="P00"/>
        <w:spacing w:before="72"/>
        <w:ind w:left="0" w:right="1134"/>
        <w:rPr>
          <w:rStyle w:val="default"/>
          <w:rFonts w:cs="FrankRuehl" w:hint="cs"/>
          <w:rtl/>
        </w:rPr>
      </w:pPr>
      <w:bookmarkStart w:id="1" w:name="Seif2"/>
      <w:bookmarkEnd w:id="1"/>
      <w:r>
        <w:rPr>
          <w:rFonts w:cs="Miriam"/>
          <w:lang w:val="he-IL"/>
        </w:rPr>
        <w:pict w14:anchorId="1A2E574E">
          <v:rect id="_x0000_s1179" style="position:absolute;left:0;text-align:left;margin-left:464.35pt;margin-top:7.1pt;width:75.05pt;height:9.05pt;z-index:251658240" o:allowincell="f" filled="f" stroked="f" strokecolor="lime" strokeweight=".25pt">
            <v:textbox style="mso-next-textbox:#_x0000_s1179" inset="0,0,0,0">
              <w:txbxContent>
                <w:p w14:paraId="369CA318" w14:textId="77777777" w:rsidR="003A5FFE" w:rsidRDefault="003A5FFE">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0A7945">
        <w:rPr>
          <w:rStyle w:val="default"/>
          <w:rFonts w:cs="FrankRuehl" w:hint="cs"/>
          <w:rtl/>
        </w:rPr>
        <w:t>על אף האמור בסעיף 1, לא יוענקו חסינויות וזכויות יתר לפי צו זה לאזרח ישראלי או לתושב ישראל.</w:t>
      </w:r>
    </w:p>
    <w:p w14:paraId="2221CE3E" w14:textId="77777777" w:rsidR="006903BD" w:rsidRDefault="006903BD">
      <w:pPr>
        <w:pStyle w:val="P00"/>
        <w:spacing w:before="72"/>
        <w:ind w:left="0" w:right="1134"/>
        <w:rPr>
          <w:rStyle w:val="default"/>
          <w:rFonts w:cs="FrankRuehl" w:hint="cs"/>
          <w:rtl/>
        </w:rPr>
      </w:pPr>
    </w:p>
    <w:p w14:paraId="05F1F413" w14:textId="77777777" w:rsidR="006903BD" w:rsidRPr="00F02DF5" w:rsidRDefault="000A7945" w:rsidP="00F02DF5">
      <w:pPr>
        <w:pStyle w:val="medium2-header"/>
        <w:keepLines w:val="0"/>
        <w:spacing w:before="72"/>
        <w:ind w:left="0" w:right="1134"/>
        <w:outlineLvl w:val="0"/>
        <w:rPr>
          <w:rFonts w:cs="FrankRuehl" w:hint="cs"/>
          <w:noProof/>
          <w:rtl/>
        </w:rPr>
      </w:pPr>
      <w:bookmarkStart w:id="2" w:name="med0"/>
      <w:bookmarkEnd w:id="2"/>
      <w:r w:rsidRPr="00F02DF5">
        <w:rPr>
          <w:rFonts w:cs="FrankRuehl" w:hint="cs"/>
          <w:noProof/>
          <w:rtl/>
        </w:rPr>
        <w:t>תוספת</w:t>
      </w:r>
    </w:p>
    <w:p w14:paraId="2E2D29D3" w14:textId="77777777" w:rsidR="006903BD" w:rsidRPr="00F02DF5" w:rsidRDefault="000A7945" w:rsidP="00F02DF5">
      <w:pPr>
        <w:pStyle w:val="P00"/>
        <w:spacing w:before="72"/>
        <w:ind w:left="0" w:right="1134"/>
        <w:jc w:val="center"/>
        <w:rPr>
          <w:rStyle w:val="default"/>
          <w:rFonts w:cs="FrankRuehl" w:hint="cs"/>
          <w:sz w:val="24"/>
          <w:szCs w:val="24"/>
          <w:rtl/>
        </w:rPr>
      </w:pPr>
      <w:r w:rsidRPr="00F02DF5">
        <w:rPr>
          <w:rStyle w:val="default"/>
          <w:rFonts w:cs="FrankRuehl" w:hint="cs"/>
          <w:sz w:val="24"/>
          <w:szCs w:val="24"/>
          <w:rtl/>
        </w:rPr>
        <w:t>(סעיף 1)</w:t>
      </w:r>
    </w:p>
    <w:p w14:paraId="15AA463B" w14:textId="77777777" w:rsidR="006903BD" w:rsidRPr="00F02DF5" w:rsidRDefault="000A7945" w:rsidP="00F02DF5">
      <w:pPr>
        <w:pStyle w:val="P00"/>
        <w:spacing w:before="72"/>
        <w:ind w:left="0" w:right="1134"/>
        <w:jc w:val="center"/>
        <w:rPr>
          <w:rStyle w:val="default"/>
          <w:rFonts w:cs="FrankRuehl" w:hint="cs"/>
          <w:b/>
          <w:bCs/>
          <w:sz w:val="18"/>
          <w:szCs w:val="22"/>
          <w:rtl/>
        </w:rPr>
      </w:pPr>
      <w:r w:rsidRPr="00F02DF5">
        <w:rPr>
          <w:rStyle w:val="default"/>
          <w:rFonts w:cs="FrankRuehl" w:hint="cs"/>
          <w:b/>
          <w:bCs/>
          <w:sz w:val="18"/>
          <w:szCs w:val="22"/>
          <w:rtl/>
        </w:rPr>
        <w:t xml:space="preserve">הסכם בין ממשלת מדינת ישראל </w:t>
      </w:r>
      <w:r w:rsidR="00F02DF5" w:rsidRPr="00F02DF5">
        <w:rPr>
          <w:rStyle w:val="default"/>
          <w:rFonts w:cs="FrankRuehl" w:hint="cs"/>
          <w:b/>
          <w:bCs/>
          <w:sz w:val="18"/>
          <w:szCs w:val="22"/>
          <w:rtl/>
        </w:rPr>
        <w:t>לבין הארגון האירופי למחקר גרעיני (</w:t>
      </w:r>
      <w:r w:rsidR="00F02DF5" w:rsidRPr="00F02DF5">
        <w:rPr>
          <w:rStyle w:val="default"/>
          <w:rFonts w:cs="FrankRuehl"/>
          <w:b/>
          <w:bCs/>
          <w:sz w:val="18"/>
          <w:szCs w:val="22"/>
        </w:rPr>
        <w:t>CERN</w:t>
      </w:r>
      <w:r w:rsidR="00F02DF5" w:rsidRPr="00F02DF5">
        <w:rPr>
          <w:rStyle w:val="default"/>
          <w:rFonts w:cs="FrankRuehl" w:hint="cs"/>
          <w:b/>
          <w:bCs/>
          <w:sz w:val="18"/>
          <w:szCs w:val="22"/>
          <w:rtl/>
        </w:rPr>
        <w:t>) בדבר הענקת מעמד של חברות נלווית כשלב המוקדם לחברות ב-</w:t>
      </w:r>
      <w:r w:rsidR="00F02DF5" w:rsidRPr="00F02DF5">
        <w:rPr>
          <w:rStyle w:val="default"/>
          <w:rFonts w:cs="FrankRuehl"/>
          <w:b/>
          <w:bCs/>
          <w:sz w:val="18"/>
          <w:szCs w:val="22"/>
        </w:rPr>
        <w:t>CERN</w:t>
      </w:r>
    </w:p>
    <w:p w14:paraId="4054F49A" w14:textId="77777777" w:rsidR="006903BD" w:rsidRPr="00F02DF5" w:rsidRDefault="00F02DF5">
      <w:pPr>
        <w:pStyle w:val="P00"/>
        <w:spacing w:before="72"/>
        <w:ind w:left="0" w:right="1134"/>
        <w:rPr>
          <w:rStyle w:val="default"/>
          <w:rFonts w:cs="FrankRuehl" w:hint="cs"/>
          <w:sz w:val="20"/>
          <w:rtl/>
        </w:rPr>
      </w:pPr>
      <w:r w:rsidRPr="00F02DF5">
        <w:rPr>
          <w:rStyle w:val="default"/>
          <w:rFonts w:cs="FrankRuehl" w:hint="cs"/>
          <w:sz w:val="20"/>
          <w:rtl/>
        </w:rPr>
        <w:t>ממשלת מדינת ישראל ("ישראל"), המיוצגת על ידי השגריר והנציג הקבוע של ישראל למשרד האומות המאוחדות ולארגונים בין-לאומיים אחרים בז'נבה, שוויצריה, מצד אחד, וכן</w:t>
      </w:r>
    </w:p>
    <w:p w14:paraId="16388BC1" w14:textId="77777777" w:rsidR="00F02DF5" w:rsidRDefault="00F02DF5">
      <w:pPr>
        <w:pStyle w:val="P00"/>
        <w:spacing w:before="72"/>
        <w:ind w:left="0" w:right="1134"/>
        <w:rPr>
          <w:rStyle w:val="default"/>
          <w:rFonts w:cs="FrankRuehl" w:hint="cs"/>
          <w:sz w:val="20"/>
          <w:rtl/>
        </w:rPr>
      </w:pPr>
      <w:r w:rsidRPr="00F02DF5">
        <w:rPr>
          <w:rStyle w:val="default"/>
          <w:rFonts w:cs="FrankRuehl" w:hint="cs"/>
          <w:sz w:val="20"/>
          <w:rtl/>
        </w:rPr>
        <w:t>הארגון האירופי למחקר גרעיני</w:t>
      </w:r>
      <w:r>
        <w:rPr>
          <w:rStyle w:val="default"/>
          <w:rFonts w:cs="FrankRuehl" w:hint="cs"/>
          <w:sz w:val="20"/>
          <w:rtl/>
        </w:rPr>
        <w:t xml:space="preserve"> ("</w:t>
      </w:r>
      <w:r>
        <w:rPr>
          <w:rStyle w:val="default"/>
          <w:rFonts w:cs="FrankRuehl"/>
          <w:sz w:val="20"/>
        </w:rPr>
        <w:t>CERN</w:t>
      </w:r>
      <w:r>
        <w:rPr>
          <w:rStyle w:val="default"/>
          <w:rFonts w:cs="FrankRuehl" w:hint="cs"/>
          <w:sz w:val="20"/>
          <w:rtl/>
        </w:rPr>
        <w:t>" או "הארגון"), ארגון בין-ממשלתי שמושבו בז'נבה, שוויצריה, המיוצג על ידי המנהל הכללי ("המנהל הכללי"), מהצד האחר,</w:t>
      </w:r>
    </w:p>
    <w:p w14:paraId="12563825" w14:textId="77777777" w:rsidR="00F02DF5" w:rsidRDefault="00F02DF5">
      <w:pPr>
        <w:pStyle w:val="P00"/>
        <w:spacing w:before="72"/>
        <w:ind w:left="0" w:right="1134"/>
        <w:rPr>
          <w:rStyle w:val="default"/>
          <w:rFonts w:cs="FrankRuehl" w:hint="cs"/>
          <w:sz w:val="20"/>
          <w:rtl/>
        </w:rPr>
      </w:pPr>
      <w:r>
        <w:rPr>
          <w:rStyle w:val="default"/>
          <w:rFonts w:cs="FrankRuehl" w:hint="cs"/>
          <w:sz w:val="20"/>
          <w:rtl/>
        </w:rPr>
        <w:t>שייקראו להלן במשותף "הצדדים",</w:t>
      </w:r>
    </w:p>
    <w:p w14:paraId="10B48C6E" w14:textId="77777777" w:rsidR="00F02DF5" w:rsidRDefault="00F02DF5">
      <w:pPr>
        <w:pStyle w:val="P00"/>
        <w:spacing w:before="72"/>
        <w:ind w:left="0" w:right="1134"/>
        <w:rPr>
          <w:rStyle w:val="default"/>
          <w:rFonts w:cs="FrankRuehl" w:hint="cs"/>
          <w:sz w:val="20"/>
          <w:rtl/>
        </w:rPr>
      </w:pPr>
      <w:r>
        <w:rPr>
          <w:rStyle w:val="default"/>
          <w:rFonts w:cs="FrankRuehl" w:hint="cs"/>
          <w:sz w:val="20"/>
          <w:rtl/>
        </w:rPr>
        <w:t>בתתם דעתם</w:t>
      </w:r>
    </w:p>
    <w:p w14:paraId="797C1925" w14:textId="77777777" w:rsidR="00F02DF5" w:rsidRDefault="00F02DF5">
      <w:pPr>
        <w:pStyle w:val="P00"/>
        <w:spacing w:before="72"/>
        <w:ind w:left="0" w:right="1134"/>
        <w:rPr>
          <w:rStyle w:val="default"/>
          <w:rFonts w:cs="FrankRuehl" w:hint="cs"/>
          <w:sz w:val="20"/>
          <w:rtl/>
        </w:rPr>
      </w:pPr>
      <w:r>
        <w:rPr>
          <w:rStyle w:val="default"/>
          <w:rFonts w:cs="FrankRuehl" w:hint="cs"/>
          <w:sz w:val="20"/>
          <w:rtl/>
        </w:rPr>
        <w:t xml:space="preserve">לאמנת </w:t>
      </w:r>
      <w:r>
        <w:rPr>
          <w:rStyle w:val="default"/>
          <w:rFonts w:cs="FrankRuehl"/>
          <w:sz w:val="20"/>
        </w:rPr>
        <w:t>CERN</w:t>
      </w:r>
      <w:r>
        <w:rPr>
          <w:rStyle w:val="default"/>
          <w:rFonts w:cs="FrankRuehl" w:hint="cs"/>
          <w:sz w:val="20"/>
          <w:rtl/>
        </w:rPr>
        <w:t xml:space="preserve"> מתאריך 1 ביולי 1953 כפי שתוקנה ב-17 בינואר 1971 (להלן </w:t>
      </w:r>
      <w:r>
        <w:rPr>
          <w:rStyle w:val="default"/>
          <w:rFonts w:cs="FrankRuehl"/>
          <w:sz w:val="20"/>
          <w:rtl/>
        </w:rPr>
        <w:t>–</w:t>
      </w:r>
      <w:r>
        <w:rPr>
          <w:rStyle w:val="default"/>
          <w:rFonts w:cs="FrankRuehl" w:hint="cs"/>
          <w:sz w:val="20"/>
          <w:rtl/>
        </w:rPr>
        <w:t xml:space="preserve"> האמנה);</w:t>
      </w:r>
    </w:p>
    <w:p w14:paraId="28DDA1B2" w14:textId="77777777" w:rsidR="00F02DF5" w:rsidRDefault="00F02DF5">
      <w:pPr>
        <w:pStyle w:val="P00"/>
        <w:spacing w:before="72"/>
        <w:ind w:left="0" w:right="1134"/>
        <w:rPr>
          <w:rStyle w:val="default"/>
          <w:rFonts w:cs="FrankRuehl" w:hint="cs"/>
          <w:sz w:val="20"/>
          <w:rtl/>
        </w:rPr>
      </w:pPr>
      <w:r>
        <w:rPr>
          <w:rStyle w:val="default"/>
          <w:rFonts w:cs="FrankRuehl" w:hint="cs"/>
          <w:sz w:val="20"/>
          <w:rtl/>
        </w:rPr>
        <w:t xml:space="preserve">למעורבות הארוכה של ישראל בתכניות המדעיות של </w:t>
      </w:r>
      <w:r>
        <w:rPr>
          <w:rStyle w:val="default"/>
          <w:rFonts w:cs="FrankRuehl"/>
          <w:sz w:val="20"/>
        </w:rPr>
        <w:t>CERN</w:t>
      </w:r>
      <w:r>
        <w:rPr>
          <w:rStyle w:val="default"/>
          <w:rFonts w:cs="FrankRuehl" w:hint="cs"/>
          <w:sz w:val="20"/>
          <w:rtl/>
        </w:rPr>
        <w:t>;</w:t>
      </w:r>
    </w:p>
    <w:p w14:paraId="5990E9E0" w14:textId="77777777" w:rsidR="00F02DF5" w:rsidRDefault="00F02DF5">
      <w:pPr>
        <w:pStyle w:val="P00"/>
        <w:spacing w:before="72"/>
        <w:ind w:left="0" w:right="1134"/>
        <w:rPr>
          <w:rStyle w:val="default"/>
          <w:rFonts w:cs="FrankRuehl" w:hint="cs"/>
          <w:sz w:val="20"/>
          <w:rtl/>
        </w:rPr>
      </w:pPr>
      <w:r>
        <w:rPr>
          <w:rStyle w:val="default"/>
          <w:rFonts w:cs="FrankRuehl" w:hint="cs"/>
          <w:sz w:val="20"/>
          <w:rtl/>
        </w:rPr>
        <w:t xml:space="preserve">לתרומות המשמעותיות של ישראל לתשתית הארגון, במזומן וכן באמצעות מוצרים תעשייתיים המסופקים בהתאם לכללי הרכש של </w:t>
      </w:r>
      <w:r>
        <w:rPr>
          <w:rStyle w:val="default"/>
          <w:rFonts w:cs="FrankRuehl"/>
          <w:sz w:val="20"/>
        </w:rPr>
        <w:t>CERN</w:t>
      </w:r>
      <w:r>
        <w:rPr>
          <w:rStyle w:val="default"/>
          <w:rFonts w:cs="FrankRuehl" w:hint="cs"/>
          <w:sz w:val="20"/>
          <w:rtl/>
        </w:rPr>
        <w:t xml:space="preserve"> ומייצגים, בתאריך הסכם זה, ערך משולב של יותר מ-30 מיליון פרנקים שוויציים;</w:t>
      </w:r>
    </w:p>
    <w:p w14:paraId="276929C4" w14:textId="77777777" w:rsidR="00F02DF5" w:rsidRDefault="00F02DF5">
      <w:pPr>
        <w:pStyle w:val="P00"/>
        <w:spacing w:before="72"/>
        <w:ind w:left="0" w:right="1134"/>
        <w:rPr>
          <w:rStyle w:val="default"/>
          <w:rFonts w:cs="FrankRuehl" w:hint="cs"/>
          <w:sz w:val="20"/>
          <w:rtl/>
        </w:rPr>
      </w:pPr>
      <w:r>
        <w:rPr>
          <w:rStyle w:val="default"/>
          <w:rFonts w:cs="FrankRuehl" w:hint="cs"/>
          <w:sz w:val="20"/>
          <w:rtl/>
        </w:rPr>
        <w:t xml:space="preserve">לכך ששיתוף </w:t>
      </w:r>
      <w:r w:rsidR="005364A8">
        <w:rPr>
          <w:rStyle w:val="default"/>
          <w:rFonts w:cs="FrankRuehl" w:hint="cs"/>
          <w:sz w:val="20"/>
          <w:rtl/>
        </w:rPr>
        <w:t>הפעולה הנ"ל פורט בשורה של פרוטוקולים להסכם שיתוף הפעולה, שנעשה על ידי הצדדים ב-8 בספטמבר 1990 ותוקן וחודש ב-5 בספטמבר 1995, 20 בדצמבר 2000, ולאחרונה ב-4 בדצמבר 2006 בתוקף מ-7 במאי 2007;</w:t>
      </w:r>
    </w:p>
    <w:p w14:paraId="0874138E" w14:textId="77777777" w:rsidR="005364A8" w:rsidRDefault="005364A8">
      <w:pPr>
        <w:pStyle w:val="P00"/>
        <w:spacing w:before="72"/>
        <w:ind w:left="0" w:right="1134"/>
        <w:rPr>
          <w:rStyle w:val="default"/>
          <w:rFonts w:cs="FrankRuehl" w:hint="cs"/>
          <w:sz w:val="20"/>
          <w:rtl/>
        </w:rPr>
      </w:pPr>
      <w:r>
        <w:rPr>
          <w:rStyle w:val="default"/>
          <w:rFonts w:cs="FrankRuehl" w:hint="cs"/>
          <w:sz w:val="20"/>
          <w:rtl/>
        </w:rPr>
        <w:t xml:space="preserve">להחלטה מתאריך 21 ביוני 1991 שבאמצעותה העניקה מועצת </w:t>
      </w:r>
      <w:r>
        <w:rPr>
          <w:rStyle w:val="default"/>
          <w:rFonts w:cs="FrankRuehl"/>
          <w:sz w:val="20"/>
        </w:rPr>
        <w:t>CERN</w:t>
      </w:r>
      <w:r>
        <w:rPr>
          <w:rStyle w:val="default"/>
          <w:rFonts w:cs="FrankRuehl" w:hint="cs"/>
          <w:sz w:val="20"/>
          <w:rtl/>
        </w:rPr>
        <w:t xml:space="preserve"> מעמד של משקיף לישראל;</w:t>
      </w:r>
    </w:p>
    <w:p w14:paraId="681EEFC5" w14:textId="77777777" w:rsidR="005364A8" w:rsidRDefault="005364A8">
      <w:pPr>
        <w:pStyle w:val="P00"/>
        <w:spacing w:before="72"/>
        <w:ind w:left="0" w:right="1134"/>
        <w:rPr>
          <w:rStyle w:val="default"/>
          <w:rFonts w:cs="FrankRuehl" w:hint="cs"/>
          <w:sz w:val="20"/>
          <w:rtl/>
        </w:rPr>
      </w:pPr>
      <w:r>
        <w:rPr>
          <w:rStyle w:val="default"/>
          <w:rFonts w:cs="FrankRuehl" w:hint="cs"/>
          <w:sz w:val="20"/>
          <w:rtl/>
        </w:rPr>
        <w:t xml:space="preserve">לאופי הגלובלי יותר ויותר של הפיסיקה השימושית ולפתיחה בבחינה מקיפה של המועצה ביוני 2008 של מדיניות החברות של הארגון, לשם הקמת קבוצת העבודה בדבר ההרחבה המדעית והגאוגרפית של </w:t>
      </w:r>
      <w:r>
        <w:rPr>
          <w:rStyle w:val="default"/>
          <w:rFonts w:cs="FrankRuehl"/>
          <w:sz w:val="20"/>
        </w:rPr>
        <w:t>CERN</w:t>
      </w:r>
      <w:r>
        <w:rPr>
          <w:rStyle w:val="default"/>
          <w:rFonts w:cs="FrankRuehl" w:hint="cs"/>
          <w:sz w:val="20"/>
          <w:rtl/>
        </w:rPr>
        <w:t>;</w:t>
      </w:r>
    </w:p>
    <w:p w14:paraId="05E159D2" w14:textId="77777777" w:rsidR="005364A8" w:rsidRDefault="005364A8" w:rsidP="005364A8">
      <w:pPr>
        <w:pStyle w:val="P00"/>
        <w:spacing w:before="72"/>
        <w:ind w:left="0" w:right="1134"/>
        <w:rPr>
          <w:rStyle w:val="default"/>
          <w:rFonts w:cs="FrankRuehl" w:hint="cs"/>
          <w:sz w:val="20"/>
          <w:rtl/>
        </w:rPr>
      </w:pPr>
      <w:r>
        <w:rPr>
          <w:rStyle w:val="default"/>
          <w:rFonts w:cs="FrankRuehl" w:hint="cs"/>
          <w:sz w:val="20"/>
          <w:rtl/>
        </w:rPr>
        <w:t>לרצונה של ישראל להגיש בקשה להפוך למדינה חברה ב-</w:t>
      </w:r>
      <w:r>
        <w:rPr>
          <w:rStyle w:val="default"/>
          <w:rFonts w:cs="FrankRuehl"/>
          <w:sz w:val="20"/>
        </w:rPr>
        <w:t>CERN</w:t>
      </w:r>
      <w:r>
        <w:rPr>
          <w:rStyle w:val="default"/>
          <w:rFonts w:cs="FrankRuehl" w:hint="cs"/>
          <w:sz w:val="20"/>
          <w:rtl/>
        </w:rPr>
        <w:t xml:space="preserve"> כפי שהובע במכתב מתאריך 2 בדצמבר 2008 לנשיא המועצה;</w:t>
      </w:r>
    </w:p>
    <w:p w14:paraId="313F8D6E" w14:textId="77777777" w:rsidR="005364A8" w:rsidRDefault="005364A8" w:rsidP="005364A8">
      <w:pPr>
        <w:pStyle w:val="P00"/>
        <w:spacing w:before="72"/>
        <w:ind w:left="0" w:right="1134"/>
        <w:rPr>
          <w:rStyle w:val="default"/>
          <w:rFonts w:cs="FrankRuehl" w:hint="cs"/>
          <w:sz w:val="20"/>
          <w:rtl/>
        </w:rPr>
      </w:pPr>
      <w:r>
        <w:rPr>
          <w:rStyle w:val="default"/>
          <w:rFonts w:cs="FrankRuehl" w:hint="cs"/>
          <w:sz w:val="20"/>
          <w:rtl/>
        </w:rPr>
        <w:t>לתיק הבקשה המפורט, כנדרש על ידי הכללים בני ההחלה ב-</w:t>
      </w:r>
      <w:r>
        <w:rPr>
          <w:rStyle w:val="default"/>
          <w:rFonts w:cs="FrankRuehl"/>
          <w:sz w:val="20"/>
        </w:rPr>
        <w:t>CERN</w:t>
      </w:r>
      <w:r>
        <w:rPr>
          <w:rStyle w:val="default"/>
          <w:rFonts w:cs="FrankRuehl" w:hint="cs"/>
          <w:sz w:val="20"/>
          <w:rtl/>
        </w:rPr>
        <w:t>, שנשלח על ידי ישראל לנשיא המועצה במכתב מתאריך 14 במאי 2009;</w:t>
      </w:r>
    </w:p>
    <w:p w14:paraId="6E217B04" w14:textId="77777777" w:rsidR="005364A8" w:rsidRDefault="005364A8" w:rsidP="005364A8">
      <w:pPr>
        <w:pStyle w:val="P00"/>
        <w:spacing w:before="72"/>
        <w:ind w:left="0" w:right="1134"/>
        <w:rPr>
          <w:rStyle w:val="default"/>
          <w:rFonts w:cs="FrankRuehl" w:hint="cs"/>
          <w:sz w:val="20"/>
          <w:rtl/>
        </w:rPr>
      </w:pPr>
      <w:r>
        <w:rPr>
          <w:rStyle w:val="default"/>
          <w:rFonts w:cs="FrankRuehl" w:hint="cs"/>
          <w:sz w:val="20"/>
          <w:rtl/>
        </w:rPr>
        <w:t xml:space="preserve">להחלטה שקיבלה המועצה במושבה מ-18/19 ביוני 2009 לדחות את הדיון בבקשות לחברות, עד להגשת הדוח הסופי של קבוצת העבודה בדבר ההרחבה המדעית והגאוגרפית של </w:t>
      </w:r>
      <w:r>
        <w:rPr>
          <w:rStyle w:val="default"/>
          <w:rFonts w:cs="FrankRuehl"/>
          <w:sz w:val="20"/>
        </w:rPr>
        <w:t>CERN</w:t>
      </w:r>
      <w:r>
        <w:rPr>
          <w:rStyle w:val="default"/>
          <w:rFonts w:cs="FrankRuehl" w:hint="cs"/>
          <w:sz w:val="20"/>
          <w:rtl/>
        </w:rPr>
        <w:t>, כפי שהועברה לישראל במכתב מתאריך 23 ביוני 2009 לנשיא המועצה;</w:t>
      </w:r>
    </w:p>
    <w:p w14:paraId="1579424A" w14:textId="77777777" w:rsidR="005364A8" w:rsidRDefault="005364A8" w:rsidP="005364A8">
      <w:pPr>
        <w:pStyle w:val="P00"/>
        <w:spacing w:before="72"/>
        <w:ind w:left="0" w:right="1134"/>
        <w:rPr>
          <w:rStyle w:val="default"/>
          <w:rFonts w:cs="FrankRuehl" w:hint="cs"/>
          <w:sz w:val="20"/>
          <w:rtl/>
        </w:rPr>
      </w:pPr>
      <w:r>
        <w:rPr>
          <w:rStyle w:val="default"/>
          <w:rFonts w:cs="FrankRuehl" w:hint="cs"/>
          <w:sz w:val="20"/>
          <w:rtl/>
        </w:rPr>
        <w:lastRenderedPageBreak/>
        <w:t xml:space="preserve">להחלטת המועצה להמשיך באימות הטכני ובבירור העובדות ביחס לבקשות לחברות שהתקבלו, בלי לפגוע בתוצאות הבדיקה הנמשכת של קבוצת העבודה בדבר ההרחבה המדעית והגאוגרפית של </w:t>
      </w:r>
      <w:r>
        <w:rPr>
          <w:rStyle w:val="default"/>
          <w:rFonts w:cs="FrankRuehl"/>
          <w:sz w:val="20"/>
        </w:rPr>
        <w:t>CERN</w:t>
      </w:r>
      <w:r>
        <w:rPr>
          <w:rStyle w:val="default"/>
          <w:rFonts w:cs="FrankRuehl" w:hint="cs"/>
          <w:sz w:val="20"/>
          <w:rtl/>
        </w:rPr>
        <w:t>, כפי שהועברה במכתב מתאריך 19 בדצמבר 2009 מנשיא המועצה לסגן ראש הממשלה ושר החוץ של ישראל;</w:t>
      </w:r>
    </w:p>
    <w:p w14:paraId="67F0D1D8" w14:textId="77777777" w:rsidR="005364A8" w:rsidRDefault="005364A8" w:rsidP="005364A8">
      <w:pPr>
        <w:pStyle w:val="P00"/>
        <w:spacing w:before="72"/>
        <w:ind w:left="0" w:right="1134"/>
        <w:rPr>
          <w:rStyle w:val="default"/>
          <w:rFonts w:cs="FrankRuehl" w:hint="cs"/>
          <w:sz w:val="20"/>
          <w:rtl/>
        </w:rPr>
      </w:pPr>
      <w:r>
        <w:rPr>
          <w:rStyle w:val="default"/>
          <w:rFonts w:cs="FrankRuehl" w:hint="cs"/>
          <w:sz w:val="20"/>
          <w:rtl/>
        </w:rPr>
        <w:t xml:space="preserve">להחלטת המועצה מתאריך 17 ביוני 2010 (כמפורט בנספח 3 ל"דוח על ההרחבה הגאוגרפית של </w:t>
      </w:r>
      <w:r>
        <w:rPr>
          <w:rStyle w:val="default"/>
          <w:rFonts w:cs="FrankRuehl"/>
          <w:sz w:val="20"/>
        </w:rPr>
        <w:t>CERN</w:t>
      </w:r>
      <w:r>
        <w:rPr>
          <w:rStyle w:val="default"/>
          <w:rFonts w:cs="FrankRuehl" w:hint="cs"/>
          <w:sz w:val="20"/>
          <w:rtl/>
        </w:rPr>
        <w:t xml:space="preserve">, </w:t>
      </w:r>
      <w:r>
        <w:rPr>
          <w:rStyle w:val="default"/>
          <w:rFonts w:cs="FrankRuehl"/>
          <w:sz w:val="20"/>
        </w:rPr>
        <w:t>CERN/2918/Rev.</w:t>
      </w:r>
      <w:r>
        <w:rPr>
          <w:rStyle w:val="default"/>
          <w:rFonts w:cs="FrankRuehl" w:hint="cs"/>
          <w:sz w:val="20"/>
          <w:rtl/>
        </w:rPr>
        <w:t>") שבאמצעותה נפתחה החברות בפני כל המדינות, ללא קשר למיקומן הגאוגרפי, ושיצרה את המעמד של חבר נלווה;</w:t>
      </w:r>
    </w:p>
    <w:p w14:paraId="1CAF37D1" w14:textId="77777777" w:rsidR="005364A8" w:rsidRDefault="005364A8" w:rsidP="005364A8">
      <w:pPr>
        <w:pStyle w:val="P00"/>
        <w:spacing w:before="72"/>
        <w:ind w:left="0" w:right="1134"/>
        <w:rPr>
          <w:rStyle w:val="default"/>
          <w:rFonts w:cs="FrankRuehl" w:hint="cs"/>
          <w:sz w:val="20"/>
          <w:rtl/>
        </w:rPr>
      </w:pPr>
      <w:r>
        <w:rPr>
          <w:rStyle w:val="default"/>
          <w:rFonts w:cs="FrankRuehl" w:hint="cs"/>
          <w:sz w:val="20"/>
          <w:rtl/>
        </w:rPr>
        <w:t>לכך שמעמד חבר נלווה מורכב מחברות נלווית רגילה ("חברות נלווית") וכן חברות נלווית כשלב מוקדם לחברות, מתוך הבנה כי, בציות לאמות המידה ולנהלים בני ההחלה, מדינות הבאות בגדר הסוג הראשון רשאיות לעבור לסוג האחרון;</w:t>
      </w:r>
    </w:p>
    <w:p w14:paraId="08FD196E" w14:textId="77777777" w:rsidR="005364A8" w:rsidRDefault="005364A8" w:rsidP="005364A8">
      <w:pPr>
        <w:pStyle w:val="P00"/>
        <w:spacing w:before="72"/>
        <w:ind w:left="0" w:right="1134"/>
        <w:rPr>
          <w:rStyle w:val="default"/>
          <w:rFonts w:cs="FrankRuehl" w:hint="cs"/>
          <w:sz w:val="20"/>
          <w:rtl/>
        </w:rPr>
      </w:pPr>
      <w:r>
        <w:rPr>
          <w:rStyle w:val="default"/>
          <w:rFonts w:cs="FrankRuehl" w:hint="cs"/>
          <w:sz w:val="20"/>
          <w:rtl/>
        </w:rPr>
        <w:t>לאישור המועצה במושבה מ-16 בדצמבר 2010 של דגמי הסכמים להענקת מעמד חברות נלווית וחברות נלווית כשלב המוקדם לחברות, ולתנאים לתשלום התרומה המיוחדת שחייבות בה מדינות חברות חדשות;</w:t>
      </w:r>
    </w:p>
    <w:p w14:paraId="70C555E4" w14:textId="77777777" w:rsidR="005364A8" w:rsidRDefault="005364A8" w:rsidP="00674A6C">
      <w:pPr>
        <w:pStyle w:val="P00"/>
        <w:spacing w:before="72"/>
        <w:ind w:left="0" w:right="1134"/>
        <w:rPr>
          <w:rStyle w:val="default"/>
          <w:rFonts w:cs="FrankRuehl" w:hint="cs"/>
          <w:sz w:val="20"/>
          <w:rtl/>
        </w:rPr>
      </w:pPr>
      <w:r>
        <w:rPr>
          <w:rStyle w:val="default"/>
          <w:rFonts w:cs="FrankRuehl" w:hint="cs"/>
          <w:sz w:val="20"/>
          <w:rtl/>
        </w:rPr>
        <w:t xml:space="preserve">לאישור העניין </w:t>
      </w:r>
      <w:r w:rsidR="00674A6C">
        <w:rPr>
          <w:rStyle w:val="default"/>
          <w:rFonts w:cs="FrankRuehl" w:hint="cs"/>
          <w:sz w:val="20"/>
          <w:rtl/>
        </w:rPr>
        <w:t>שיש למועצה בחברות של כל המדינות שהגישו לארגון בקשה להכרה, בהתאם למסקנות קבוצת העבודה, ושעומדות באמות המידה הטכניות לחברות, וכתוצאה מכך ההסמכה שנתנה המועצה למנהל הכללי להיכנס למשא ומתן עם מדינות אלה במגמה להעניק להן מעמד של חברות נלווית כשלב המוקדם לחברות על בסיס התנאים והנהלים החדשים להצטרפות שאישרה המועצה במושביה מיוני ודצמבר 2010;</w:t>
      </w:r>
    </w:p>
    <w:p w14:paraId="5D7D103A" w14:textId="77777777" w:rsidR="00674A6C" w:rsidRDefault="00674A6C" w:rsidP="00674A6C">
      <w:pPr>
        <w:pStyle w:val="P00"/>
        <w:spacing w:before="72"/>
        <w:ind w:left="0" w:right="1134"/>
        <w:rPr>
          <w:rStyle w:val="default"/>
          <w:rFonts w:cs="FrankRuehl" w:hint="cs"/>
          <w:sz w:val="20"/>
          <w:rtl/>
        </w:rPr>
      </w:pPr>
      <w:r>
        <w:rPr>
          <w:rStyle w:val="default"/>
          <w:rFonts w:cs="FrankRuehl" w:hint="cs"/>
          <w:sz w:val="20"/>
          <w:rtl/>
        </w:rPr>
        <w:t>לכך שההסמכה הנ"ל של המנהל הכללי היתה בכפוף לקבלת אישור בכתב ל-</w:t>
      </w:r>
      <w:r w:rsidRPr="00674A6C">
        <w:rPr>
          <w:rStyle w:val="default"/>
          <w:rFonts w:cs="FrankRuehl"/>
          <w:sz w:val="20"/>
        </w:rPr>
        <w:t xml:space="preserve"> </w:t>
      </w:r>
      <w:r>
        <w:rPr>
          <w:rStyle w:val="default"/>
          <w:rFonts w:cs="FrankRuehl"/>
          <w:sz w:val="20"/>
        </w:rPr>
        <w:t>CERN</w:t>
      </w:r>
      <w:r>
        <w:rPr>
          <w:rStyle w:val="default"/>
          <w:rFonts w:cs="FrankRuehl" w:hint="cs"/>
          <w:sz w:val="20"/>
          <w:rtl/>
        </w:rPr>
        <w:t xml:space="preserve"> מהמדינות המבקשות, בלא הסתייגות, כי הבקשות נשארו בתוקף על בסיס התנאים והנהלים החדשים הנ"ל;</w:t>
      </w:r>
    </w:p>
    <w:p w14:paraId="21E4596A" w14:textId="77777777" w:rsidR="00674A6C" w:rsidRDefault="00674A6C" w:rsidP="00674A6C">
      <w:pPr>
        <w:pStyle w:val="P00"/>
        <w:spacing w:before="72"/>
        <w:ind w:left="0" w:right="1134"/>
        <w:rPr>
          <w:rStyle w:val="default"/>
          <w:rFonts w:cs="FrankRuehl" w:hint="cs"/>
          <w:sz w:val="20"/>
          <w:rtl/>
        </w:rPr>
      </w:pPr>
      <w:r>
        <w:rPr>
          <w:rStyle w:val="default"/>
          <w:rFonts w:cs="FrankRuehl" w:hint="cs"/>
          <w:sz w:val="20"/>
          <w:rtl/>
        </w:rPr>
        <w:t>בהתייחס</w:t>
      </w:r>
    </w:p>
    <w:p w14:paraId="5046F0E7" w14:textId="77777777" w:rsidR="00674A6C" w:rsidRDefault="00C921A4" w:rsidP="00674A6C">
      <w:pPr>
        <w:pStyle w:val="P00"/>
        <w:spacing w:before="72"/>
        <w:ind w:left="0" w:right="1134"/>
        <w:rPr>
          <w:rStyle w:val="default"/>
          <w:rFonts w:cs="FrankRuehl" w:hint="cs"/>
          <w:sz w:val="20"/>
          <w:rtl/>
        </w:rPr>
      </w:pPr>
      <w:r>
        <w:rPr>
          <w:rStyle w:val="default"/>
          <w:rFonts w:cs="FrankRuehl" w:hint="cs"/>
          <w:sz w:val="20"/>
          <w:rtl/>
        </w:rPr>
        <w:t xml:space="preserve">למכתב מתאריך 20 בינואר 2011 של המנהל הכללי של </w:t>
      </w:r>
      <w:r>
        <w:rPr>
          <w:rStyle w:val="default"/>
          <w:rFonts w:cs="FrankRuehl"/>
          <w:sz w:val="20"/>
        </w:rPr>
        <w:t>CERN</w:t>
      </w:r>
      <w:r>
        <w:rPr>
          <w:rStyle w:val="default"/>
          <w:rFonts w:cs="FrankRuehl" w:hint="cs"/>
          <w:sz w:val="20"/>
          <w:rtl/>
        </w:rPr>
        <w:t xml:space="preserve"> הממוען אל השגריר והנציג הקבוע של ישראל למשרד האומות המאוחדות ולארגונים בין-לאומים אחרים בז'נבה, המעביר את התנאים והנהלים החדשים ומזמין את ישראל להעביר את האישור הנדרש על ידי המועצה;</w:t>
      </w:r>
    </w:p>
    <w:p w14:paraId="4C94AD00" w14:textId="77777777" w:rsidR="00C921A4" w:rsidRDefault="00C921A4" w:rsidP="00674A6C">
      <w:pPr>
        <w:pStyle w:val="P00"/>
        <w:spacing w:before="72"/>
        <w:ind w:left="0" w:right="1134"/>
        <w:rPr>
          <w:rStyle w:val="default"/>
          <w:rFonts w:cs="FrankRuehl" w:hint="cs"/>
          <w:sz w:val="20"/>
          <w:rtl/>
        </w:rPr>
      </w:pPr>
      <w:r>
        <w:rPr>
          <w:rStyle w:val="default"/>
          <w:rFonts w:cs="FrankRuehl" w:hint="cs"/>
          <w:sz w:val="20"/>
          <w:rtl/>
        </w:rPr>
        <w:t xml:space="preserve">למכתב מתאריך 15 במרס 2011 של סגן ראש הממשלה ושר החוץ של ישראל הממוען אל המנהל הכללי של </w:t>
      </w:r>
      <w:r>
        <w:rPr>
          <w:rStyle w:val="default"/>
          <w:rFonts w:cs="FrankRuehl"/>
          <w:sz w:val="20"/>
        </w:rPr>
        <w:t>CERN</w:t>
      </w:r>
      <w:r>
        <w:rPr>
          <w:rStyle w:val="default"/>
          <w:rFonts w:cs="FrankRuehl" w:hint="cs"/>
          <w:sz w:val="20"/>
          <w:rtl/>
        </w:rPr>
        <w:t>, המאשר את המשך תוקף בקשת החברות של ישראל על בסיס התנאים והנהלים החדשים שהמועצה החליטה עליהם ביוני ובדצמבר 2010;</w:t>
      </w:r>
    </w:p>
    <w:p w14:paraId="7EBDC618" w14:textId="77777777" w:rsidR="00C921A4" w:rsidRDefault="00C921A4" w:rsidP="00674A6C">
      <w:pPr>
        <w:pStyle w:val="P00"/>
        <w:spacing w:before="72"/>
        <w:ind w:left="0" w:right="1134"/>
        <w:rPr>
          <w:rStyle w:val="default"/>
          <w:rFonts w:cs="FrankRuehl" w:hint="cs"/>
          <w:sz w:val="20"/>
          <w:rtl/>
        </w:rPr>
      </w:pPr>
      <w:r>
        <w:rPr>
          <w:rStyle w:val="default"/>
          <w:rFonts w:cs="FrankRuehl" w:hint="cs"/>
          <w:sz w:val="20"/>
          <w:rtl/>
        </w:rPr>
        <w:t xml:space="preserve">למשא ומתן בין ישראל לבין </w:t>
      </w:r>
      <w:r>
        <w:rPr>
          <w:rStyle w:val="default"/>
          <w:rFonts w:cs="FrankRuehl"/>
          <w:sz w:val="20"/>
        </w:rPr>
        <w:t>CERN</w:t>
      </w:r>
      <w:r>
        <w:rPr>
          <w:rStyle w:val="default"/>
          <w:rFonts w:cs="FrankRuehl" w:hint="cs"/>
          <w:sz w:val="20"/>
          <w:rtl/>
        </w:rPr>
        <w:t xml:space="preserve"> במסגרת המתווה של החלטות המועצה;</w:t>
      </w:r>
    </w:p>
    <w:p w14:paraId="5165728A" w14:textId="77777777" w:rsidR="00C921A4" w:rsidRDefault="00C921A4" w:rsidP="00674A6C">
      <w:pPr>
        <w:pStyle w:val="P00"/>
        <w:spacing w:before="72"/>
        <w:ind w:left="0" w:right="1134"/>
        <w:rPr>
          <w:rStyle w:val="default"/>
          <w:rFonts w:cs="FrankRuehl" w:hint="cs"/>
          <w:sz w:val="20"/>
          <w:rtl/>
        </w:rPr>
      </w:pPr>
      <w:r>
        <w:rPr>
          <w:rStyle w:val="default"/>
          <w:rFonts w:cs="FrankRuehl" w:hint="cs"/>
          <w:sz w:val="20"/>
          <w:rtl/>
        </w:rPr>
        <w:t>להחלטת המועצה מתאריך 15 בספטמבר 2011 (</w:t>
      </w:r>
      <w:r>
        <w:rPr>
          <w:rStyle w:val="default"/>
          <w:rFonts w:cs="FrankRuehl"/>
          <w:sz w:val="20"/>
        </w:rPr>
        <w:t>CERN/2985/RA</w:t>
      </w:r>
      <w:r>
        <w:rPr>
          <w:rStyle w:val="default"/>
          <w:rFonts w:cs="FrankRuehl" w:hint="cs"/>
          <w:sz w:val="20"/>
          <w:rtl/>
        </w:rPr>
        <w:t>) שבאמצעותה מתקבלת ישראל כחברת משנה בשלב המוקדם לחברות, בכפוף להוראות ולכניסתו לתוקף של סעיף זה,</w:t>
      </w:r>
    </w:p>
    <w:p w14:paraId="3BE800A9" w14:textId="77777777" w:rsidR="00C921A4" w:rsidRDefault="00C921A4" w:rsidP="00674A6C">
      <w:pPr>
        <w:pStyle w:val="P00"/>
        <w:spacing w:before="72"/>
        <w:ind w:left="0" w:right="1134"/>
        <w:rPr>
          <w:rStyle w:val="default"/>
          <w:rFonts w:cs="FrankRuehl" w:hint="cs"/>
          <w:sz w:val="20"/>
          <w:rtl/>
        </w:rPr>
      </w:pPr>
      <w:r>
        <w:rPr>
          <w:rStyle w:val="default"/>
          <w:rFonts w:cs="FrankRuehl" w:hint="cs"/>
          <w:sz w:val="20"/>
          <w:rtl/>
        </w:rPr>
        <w:t>הסכימו לאמור:</w:t>
      </w:r>
    </w:p>
    <w:p w14:paraId="4E6E15C8" w14:textId="77777777" w:rsidR="00C921A4" w:rsidRPr="00B46641" w:rsidRDefault="00B46641" w:rsidP="00B46641">
      <w:pPr>
        <w:pStyle w:val="medium2-header"/>
        <w:keepLines w:val="0"/>
        <w:spacing w:before="72"/>
        <w:ind w:left="0" w:right="1134"/>
        <w:outlineLvl w:val="0"/>
        <w:rPr>
          <w:rFonts w:cs="FrankRuehl" w:hint="cs"/>
          <w:noProof/>
          <w:sz w:val="22"/>
          <w:szCs w:val="22"/>
          <w:rtl/>
        </w:rPr>
      </w:pPr>
      <w:bookmarkStart w:id="3" w:name="med1"/>
      <w:bookmarkEnd w:id="3"/>
      <w:r w:rsidRPr="00B46641">
        <w:rPr>
          <w:rFonts w:cs="FrankRuehl" w:hint="cs"/>
          <w:noProof/>
          <w:sz w:val="22"/>
          <w:szCs w:val="22"/>
          <w:rtl/>
        </w:rPr>
        <w:t>סעיף 1</w:t>
      </w:r>
    </w:p>
    <w:p w14:paraId="704670F2" w14:textId="77777777" w:rsidR="00B46641" w:rsidRPr="00B46641" w:rsidRDefault="00B46641" w:rsidP="00B46641">
      <w:pPr>
        <w:pStyle w:val="P00"/>
        <w:spacing w:before="72"/>
        <w:ind w:left="0" w:right="1134"/>
        <w:jc w:val="center"/>
        <w:rPr>
          <w:rStyle w:val="default"/>
          <w:rFonts w:cs="FrankRuehl" w:hint="cs"/>
          <w:b/>
          <w:bCs/>
          <w:sz w:val="22"/>
          <w:szCs w:val="22"/>
          <w:rtl/>
        </w:rPr>
      </w:pPr>
      <w:r w:rsidRPr="00B46641">
        <w:rPr>
          <w:rStyle w:val="default"/>
          <w:rFonts w:cs="FrankRuehl" w:hint="cs"/>
          <w:b/>
          <w:bCs/>
          <w:sz w:val="22"/>
          <w:szCs w:val="22"/>
          <w:rtl/>
        </w:rPr>
        <w:t>מטרה</w:t>
      </w:r>
    </w:p>
    <w:p w14:paraId="5967E534" w14:textId="77777777" w:rsidR="00B46641" w:rsidRDefault="00B46641" w:rsidP="00B46641">
      <w:pPr>
        <w:pStyle w:val="P00"/>
        <w:spacing w:before="72"/>
        <w:ind w:left="0" w:right="1134"/>
        <w:rPr>
          <w:rStyle w:val="default"/>
          <w:rFonts w:cs="FrankRuehl" w:hint="cs"/>
          <w:sz w:val="20"/>
          <w:rtl/>
        </w:rPr>
      </w:pPr>
      <w:r>
        <w:rPr>
          <w:rStyle w:val="default"/>
          <w:rFonts w:cs="FrankRuehl" w:hint="cs"/>
          <w:sz w:val="20"/>
          <w:rtl/>
        </w:rPr>
        <w:t>בהחלת החלטת המועצה הנזכרת לעיל, הסכם זה (כולל הנספח, שהוא חלק בלתי נפרד מהסכם זה) קובע את הזכויות וההתחייבויות של הצדדים המתאימות למעמד של חברות נלווית כשלב המוקדם לחברות של ישראל. בהתקשרה בהסכם זה, ישראל מקבלת זכויות והתחייבויות כאמור וכן את אלה הנובעות מהמסגרת המשפטית של הארגון, כמפורט בעיקר באמנה, בכללים ובתקנות של הארגון ובהחלטות גופיו. מעמד החברות הנלווית כשלב המוקדם לחברות של ישראל לא יימשך יותר מתקופה של חמש שנים.</w:t>
      </w:r>
    </w:p>
    <w:p w14:paraId="01D0EE4F" w14:textId="77777777" w:rsidR="00B46641" w:rsidRPr="00B46641" w:rsidRDefault="00B46641" w:rsidP="00B46641">
      <w:pPr>
        <w:pStyle w:val="medium2-header"/>
        <w:keepLines w:val="0"/>
        <w:spacing w:before="72"/>
        <w:ind w:left="0" w:right="1134"/>
        <w:outlineLvl w:val="0"/>
        <w:rPr>
          <w:rFonts w:cs="FrankRuehl" w:hint="cs"/>
          <w:noProof/>
          <w:sz w:val="22"/>
          <w:szCs w:val="22"/>
          <w:rtl/>
        </w:rPr>
      </w:pPr>
      <w:bookmarkStart w:id="4" w:name="med2"/>
      <w:bookmarkEnd w:id="4"/>
      <w:r w:rsidRPr="00B46641">
        <w:rPr>
          <w:rFonts w:cs="FrankRuehl" w:hint="cs"/>
          <w:noProof/>
          <w:sz w:val="22"/>
          <w:szCs w:val="22"/>
          <w:rtl/>
        </w:rPr>
        <w:t xml:space="preserve">סעיף </w:t>
      </w:r>
      <w:r>
        <w:rPr>
          <w:rFonts w:cs="FrankRuehl" w:hint="cs"/>
          <w:noProof/>
          <w:sz w:val="22"/>
          <w:szCs w:val="22"/>
          <w:rtl/>
        </w:rPr>
        <w:t>2</w:t>
      </w:r>
    </w:p>
    <w:p w14:paraId="47530E30" w14:textId="77777777" w:rsidR="00B46641" w:rsidRPr="00B46641" w:rsidRDefault="00B46641" w:rsidP="00B4664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זכויות</w:t>
      </w:r>
    </w:p>
    <w:p w14:paraId="585417D6" w14:textId="77777777" w:rsidR="00B46641" w:rsidRPr="00B46641" w:rsidRDefault="00B46641" w:rsidP="00B46641">
      <w:pPr>
        <w:pStyle w:val="P00"/>
        <w:spacing w:before="72"/>
        <w:ind w:left="0" w:right="1134"/>
        <w:rPr>
          <w:rStyle w:val="default"/>
          <w:rFonts w:cs="FrankRuehl" w:hint="cs"/>
          <w:b/>
          <w:bCs/>
          <w:sz w:val="18"/>
          <w:szCs w:val="22"/>
          <w:rtl/>
        </w:rPr>
      </w:pPr>
      <w:r w:rsidRPr="00B46641">
        <w:rPr>
          <w:rStyle w:val="default"/>
          <w:rFonts w:cs="FrankRuehl" w:hint="cs"/>
          <w:b/>
          <w:bCs/>
          <w:sz w:val="18"/>
          <w:szCs w:val="22"/>
          <w:rtl/>
        </w:rPr>
        <w:t>2.1</w:t>
      </w:r>
      <w:r w:rsidRPr="00B46641">
        <w:rPr>
          <w:rStyle w:val="default"/>
          <w:rFonts w:cs="FrankRuehl" w:hint="cs"/>
          <w:b/>
          <w:bCs/>
          <w:sz w:val="18"/>
          <w:szCs w:val="22"/>
          <w:rtl/>
        </w:rPr>
        <w:tab/>
        <w:t xml:space="preserve">השתתפות בתכניות </w:t>
      </w:r>
      <w:r w:rsidRPr="00B46641">
        <w:rPr>
          <w:rStyle w:val="default"/>
          <w:rFonts w:cs="FrankRuehl"/>
          <w:b/>
          <w:bCs/>
          <w:sz w:val="18"/>
          <w:szCs w:val="22"/>
        </w:rPr>
        <w:t>CERN</w:t>
      </w:r>
    </w:p>
    <w:p w14:paraId="2D2359C4" w14:textId="77777777" w:rsidR="00B46641" w:rsidRDefault="00B46641" w:rsidP="00271466">
      <w:pPr>
        <w:pStyle w:val="P00"/>
        <w:spacing w:before="72"/>
        <w:ind w:left="624" w:right="1134"/>
        <w:rPr>
          <w:rStyle w:val="default"/>
          <w:rFonts w:cs="FrankRuehl" w:hint="cs"/>
          <w:sz w:val="20"/>
          <w:rtl/>
        </w:rPr>
      </w:pPr>
      <w:r>
        <w:rPr>
          <w:rStyle w:val="default"/>
          <w:rFonts w:cs="FrankRuehl" w:hint="cs"/>
          <w:sz w:val="20"/>
          <w:rtl/>
        </w:rPr>
        <w:t>ישראל רשאית להשתתף בתכנית המדעית של הארגון וכן בתכניות ההכשרה והחינוך שלו.</w:t>
      </w:r>
    </w:p>
    <w:p w14:paraId="403772B2" w14:textId="77777777" w:rsidR="00B46641" w:rsidRPr="00B46641" w:rsidRDefault="00B46641" w:rsidP="00B46641">
      <w:pPr>
        <w:pStyle w:val="P00"/>
        <w:spacing w:before="72"/>
        <w:ind w:left="0" w:right="1134"/>
        <w:rPr>
          <w:rStyle w:val="default"/>
          <w:rFonts w:cs="FrankRuehl" w:hint="cs"/>
          <w:b/>
          <w:bCs/>
          <w:sz w:val="18"/>
          <w:szCs w:val="22"/>
          <w:rtl/>
        </w:rPr>
      </w:pPr>
      <w:r w:rsidRPr="00B46641">
        <w:rPr>
          <w:rStyle w:val="default"/>
          <w:rFonts w:cs="FrankRuehl" w:hint="cs"/>
          <w:b/>
          <w:bCs/>
          <w:sz w:val="18"/>
          <w:szCs w:val="22"/>
          <w:rtl/>
        </w:rPr>
        <w:t>2.2</w:t>
      </w:r>
      <w:r w:rsidRPr="00B46641">
        <w:rPr>
          <w:rStyle w:val="default"/>
          <w:rFonts w:cs="FrankRuehl" w:hint="cs"/>
          <w:b/>
          <w:bCs/>
          <w:sz w:val="18"/>
          <w:szCs w:val="22"/>
          <w:rtl/>
        </w:rPr>
        <w:tab/>
        <w:t>נוכחות במועצה ובוועדותיה</w:t>
      </w:r>
    </w:p>
    <w:p w14:paraId="2A37DCE0" w14:textId="77777777" w:rsidR="00B46641" w:rsidRDefault="00B46641" w:rsidP="00271466">
      <w:pPr>
        <w:pStyle w:val="P00"/>
        <w:spacing w:before="72"/>
        <w:ind w:left="624" w:right="1134"/>
        <w:rPr>
          <w:rStyle w:val="default"/>
          <w:rFonts w:cs="FrankRuehl" w:hint="cs"/>
          <w:sz w:val="20"/>
          <w:rtl/>
        </w:rPr>
      </w:pPr>
      <w:r>
        <w:rPr>
          <w:rStyle w:val="default"/>
          <w:rFonts w:cs="FrankRuehl" w:hint="cs"/>
          <w:sz w:val="20"/>
          <w:rtl/>
        </w:rPr>
        <w:t>מושבים מן המניין של המועצה</w:t>
      </w:r>
    </w:p>
    <w:p w14:paraId="3C21386B" w14:textId="77777777" w:rsidR="00B46641" w:rsidRDefault="00B46641" w:rsidP="00271466">
      <w:pPr>
        <w:pStyle w:val="P00"/>
        <w:spacing w:before="72"/>
        <w:ind w:left="624" w:right="1134"/>
        <w:rPr>
          <w:rStyle w:val="default"/>
          <w:rFonts w:cs="FrankRuehl" w:hint="cs"/>
          <w:sz w:val="20"/>
          <w:rtl/>
        </w:rPr>
      </w:pPr>
      <w:r>
        <w:rPr>
          <w:rStyle w:val="default"/>
          <w:rFonts w:cs="FrankRuehl" w:hint="cs"/>
          <w:sz w:val="20"/>
          <w:rtl/>
        </w:rPr>
        <w:t>ישראל תהיה זכאית להיות מיוצגת, למעט במושבים סגורים. המספר והכישורים של נציגיה יהיו בהתאם לכללים החלים על ייצוג של מדינות חברות. לישראל לא יהיו זכויות הצבעה אבל היא רשאית לבקש את זכות הדיבור ולמסור הצהרות בלא צורך להזמינה רשמית לעשות כן.</w:t>
      </w:r>
    </w:p>
    <w:p w14:paraId="617E3FCE" w14:textId="77777777" w:rsidR="00B46641" w:rsidRDefault="00B46641" w:rsidP="00271466">
      <w:pPr>
        <w:pStyle w:val="P00"/>
        <w:spacing w:before="72"/>
        <w:ind w:left="624" w:right="1134"/>
        <w:rPr>
          <w:rStyle w:val="default"/>
          <w:rFonts w:cs="FrankRuehl" w:hint="cs"/>
          <w:sz w:val="20"/>
          <w:rtl/>
        </w:rPr>
      </w:pPr>
      <w:r>
        <w:rPr>
          <w:rStyle w:val="default"/>
          <w:rFonts w:cs="FrankRuehl" w:hint="cs"/>
          <w:sz w:val="20"/>
          <w:rtl/>
        </w:rPr>
        <w:t>מפגשי אסטרטגיה אירופית של המועצה</w:t>
      </w:r>
    </w:p>
    <w:p w14:paraId="4362A0FF" w14:textId="77777777" w:rsidR="00B46641" w:rsidRDefault="00B46641" w:rsidP="00271466">
      <w:pPr>
        <w:pStyle w:val="P00"/>
        <w:spacing w:before="72"/>
        <w:ind w:left="624" w:right="1134"/>
        <w:rPr>
          <w:rStyle w:val="default"/>
          <w:rFonts w:cs="FrankRuehl" w:hint="cs"/>
          <w:sz w:val="20"/>
          <w:rtl/>
        </w:rPr>
      </w:pPr>
      <w:r>
        <w:rPr>
          <w:rStyle w:val="default"/>
          <w:rFonts w:cs="FrankRuehl" w:hint="cs"/>
          <w:sz w:val="20"/>
          <w:rtl/>
        </w:rPr>
        <w:t xml:space="preserve">ישראל תהיה </w:t>
      </w:r>
      <w:r w:rsidR="000E5A3E">
        <w:rPr>
          <w:rStyle w:val="default"/>
          <w:rFonts w:cs="FrankRuehl" w:hint="cs"/>
          <w:sz w:val="20"/>
          <w:rtl/>
        </w:rPr>
        <w:t>זכאית להיות מיוצגת, למעט במושבים סגורים. המספר והכישורים של נציגיה יהיו בהתאם לכללים החלים על ייצוג של מדינות חברות. לישראל לא יהיו זכויות הצבעה אבל היא רשאית לבקש את זכות הדיבור ולמסור הצהרות בלא צורך להזמינה רשמית לעשות כן.</w:t>
      </w:r>
    </w:p>
    <w:p w14:paraId="39C72457" w14:textId="77777777" w:rsidR="000E5A3E" w:rsidRDefault="000E5A3E" w:rsidP="00271466">
      <w:pPr>
        <w:pStyle w:val="P00"/>
        <w:spacing w:before="72"/>
        <w:ind w:left="624" w:right="1134"/>
        <w:rPr>
          <w:rStyle w:val="default"/>
          <w:rFonts w:cs="FrankRuehl" w:hint="cs"/>
          <w:sz w:val="20"/>
          <w:rtl/>
        </w:rPr>
      </w:pPr>
      <w:r>
        <w:rPr>
          <w:rStyle w:val="default"/>
          <w:rFonts w:cs="FrankRuehl" w:hint="cs"/>
          <w:sz w:val="20"/>
          <w:rtl/>
        </w:rPr>
        <w:t>מפגשי ועדת הכספים</w:t>
      </w:r>
    </w:p>
    <w:p w14:paraId="27C9DEF2" w14:textId="77777777" w:rsidR="000E5A3E" w:rsidRDefault="000E5A3E" w:rsidP="00271466">
      <w:pPr>
        <w:pStyle w:val="P00"/>
        <w:spacing w:before="72"/>
        <w:ind w:left="624" w:right="1134"/>
        <w:rPr>
          <w:rStyle w:val="default"/>
          <w:rFonts w:cs="FrankRuehl" w:hint="cs"/>
          <w:sz w:val="20"/>
          <w:rtl/>
        </w:rPr>
      </w:pPr>
      <w:r>
        <w:rPr>
          <w:rStyle w:val="default"/>
          <w:rFonts w:cs="FrankRuehl" w:hint="cs"/>
          <w:sz w:val="20"/>
          <w:rtl/>
        </w:rPr>
        <w:t>ישראל תהיה זכאית להיות מיוצגת במפגשי ועדת הכספים. המספר והכישורים של נציגיה יהיו בהתאם לכללים החלים על ייצוג של מדינות חברות. ישראל לא תיהנה מזכויות הצבעה רשמיות אבל היא רשאית לבקש את זכות הדיבור ולמסור הצהרות בלא צורך להזמינה רשמית לעשות כן. כמו כן היא רשאית להביע עמדה בכל עניין שהוא נושא להצבעה רשמית בוועדת הכספים במטרה להגיש המלצה למועצה, ועמדה זו תתועד ותועבר למועצה, לידיעה, יחד עם ההמלצה. ישראל רשאית להשתתף בהצבעות לא רשמיות.</w:t>
      </w:r>
    </w:p>
    <w:p w14:paraId="067AAC61" w14:textId="77777777" w:rsidR="000E5A3E" w:rsidRDefault="000E5A3E" w:rsidP="00271466">
      <w:pPr>
        <w:pStyle w:val="P00"/>
        <w:spacing w:before="72"/>
        <w:ind w:left="624" w:right="1134"/>
        <w:rPr>
          <w:rStyle w:val="default"/>
          <w:rFonts w:cs="FrankRuehl" w:hint="cs"/>
          <w:sz w:val="20"/>
          <w:rtl/>
        </w:rPr>
      </w:pPr>
      <w:r>
        <w:rPr>
          <w:rStyle w:val="default"/>
          <w:rFonts w:cs="FrankRuehl" w:hint="cs"/>
          <w:sz w:val="20"/>
          <w:rtl/>
        </w:rPr>
        <w:t>מפגשי ועדת המדיניות המדעית</w:t>
      </w:r>
    </w:p>
    <w:p w14:paraId="2B33BD23" w14:textId="77777777" w:rsidR="000E5A3E" w:rsidRDefault="000E5A3E" w:rsidP="00271466">
      <w:pPr>
        <w:pStyle w:val="P00"/>
        <w:spacing w:before="72"/>
        <w:ind w:left="624" w:right="1134"/>
        <w:rPr>
          <w:rStyle w:val="default"/>
          <w:rFonts w:cs="FrankRuehl" w:hint="cs"/>
          <w:sz w:val="20"/>
          <w:rtl/>
        </w:rPr>
      </w:pPr>
      <w:r>
        <w:rPr>
          <w:rStyle w:val="default"/>
          <w:rFonts w:cs="FrankRuehl" w:hint="cs"/>
          <w:sz w:val="20"/>
          <w:rtl/>
        </w:rPr>
        <w:t>הנציג המדעי לוועדה של ישראל יהיה זכאי להשתתף במפגשים במצב רגיל כמשקיף.</w:t>
      </w:r>
    </w:p>
    <w:p w14:paraId="7AEBAE85" w14:textId="77777777" w:rsidR="000E5A3E" w:rsidRPr="00271466" w:rsidRDefault="000E5A3E" w:rsidP="00B46641">
      <w:pPr>
        <w:pStyle w:val="P00"/>
        <w:spacing w:before="72"/>
        <w:ind w:left="0" w:right="1134"/>
        <w:rPr>
          <w:rStyle w:val="default"/>
          <w:rFonts w:cs="FrankRuehl" w:hint="cs"/>
          <w:b/>
          <w:bCs/>
          <w:sz w:val="18"/>
          <w:szCs w:val="22"/>
          <w:rtl/>
        </w:rPr>
      </w:pPr>
      <w:r w:rsidRPr="00271466">
        <w:rPr>
          <w:rStyle w:val="default"/>
          <w:rFonts w:cs="FrankRuehl" w:hint="cs"/>
          <w:b/>
          <w:bCs/>
          <w:sz w:val="18"/>
          <w:szCs w:val="22"/>
          <w:rtl/>
        </w:rPr>
        <w:t>2.3</w:t>
      </w:r>
      <w:r w:rsidRPr="00271466">
        <w:rPr>
          <w:rStyle w:val="default"/>
          <w:rFonts w:cs="FrankRuehl" w:hint="cs"/>
          <w:b/>
          <w:bCs/>
          <w:sz w:val="18"/>
          <w:szCs w:val="22"/>
          <w:rtl/>
        </w:rPr>
        <w:tab/>
        <w:t>זכאות להתמנות כאנשי סגל, עמיתים, חוקרים ושותפים</w:t>
      </w:r>
    </w:p>
    <w:p w14:paraId="3E93171B" w14:textId="77777777" w:rsidR="000E5A3E" w:rsidRDefault="000E5A3E" w:rsidP="00D812C1">
      <w:pPr>
        <w:pStyle w:val="P00"/>
        <w:spacing w:before="72"/>
        <w:ind w:left="624" w:right="1134"/>
        <w:rPr>
          <w:rStyle w:val="default"/>
          <w:rFonts w:cs="FrankRuehl" w:hint="cs"/>
          <w:sz w:val="20"/>
          <w:rtl/>
        </w:rPr>
      </w:pPr>
      <w:r>
        <w:rPr>
          <w:rStyle w:val="default"/>
          <w:rFonts w:cs="FrankRuehl" w:hint="cs"/>
          <w:sz w:val="20"/>
          <w:rtl/>
        </w:rPr>
        <w:t xml:space="preserve">בכפוף לס"ק 2.5 להלן, </w:t>
      </w:r>
      <w:r w:rsidR="003F2972">
        <w:rPr>
          <w:rStyle w:val="default"/>
          <w:rFonts w:cs="FrankRuehl" w:hint="cs"/>
          <w:sz w:val="20"/>
          <w:rtl/>
        </w:rPr>
        <w:t>אזרחי ישראל רשאים להגיש מועמדות למינוי כאנשי סגל בחוזים לטווח קצר, עמיתים, חוקרים ושותפים. בחירתם ומינוים יהיו כפופים לעקרונות ולקווי המדיניות הקבועים של הארגון ולכללים ולתקנות ביחס לאנשי סגל. במקרים חריגים, המנהל הכללי רשאי להחליט להתיר לאזרחי ישראל להגיש מועמדות לחוזים בלתי מוגבלים בזמן לאנשי סגל, תמיד בכפיפות לאמות מידה זהות לאלה הנזכרות במשפט הקודם ולסעיף 2.5 להלן.</w:t>
      </w:r>
    </w:p>
    <w:p w14:paraId="2BEA4B24" w14:textId="77777777" w:rsidR="003F2972" w:rsidRPr="00D812C1" w:rsidRDefault="003F2972" w:rsidP="00B46641">
      <w:pPr>
        <w:pStyle w:val="P00"/>
        <w:spacing w:before="72"/>
        <w:ind w:left="0" w:right="1134"/>
        <w:rPr>
          <w:rStyle w:val="default"/>
          <w:rFonts w:cs="FrankRuehl" w:hint="cs"/>
          <w:b/>
          <w:bCs/>
          <w:sz w:val="18"/>
          <w:szCs w:val="22"/>
          <w:rtl/>
        </w:rPr>
      </w:pPr>
      <w:r w:rsidRPr="00D812C1">
        <w:rPr>
          <w:rStyle w:val="default"/>
          <w:rFonts w:cs="FrankRuehl" w:hint="cs"/>
          <w:b/>
          <w:bCs/>
          <w:sz w:val="18"/>
          <w:szCs w:val="22"/>
          <w:rtl/>
        </w:rPr>
        <w:t>2.4</w:t>
      </w:r>
      <w:r w:rsidRPr="00D812C1">
        <w:rPr>
          <w:rStyle w:val="default"/>
          <w:rFonts w:cs="FrankRuehl" w:hint="cs"/>
          <w:b/>
          <w:bCs/>
          <w:sz w:val="18"/>
          <w:szCs w:val="22"/>
          <w:rtl/>
        </w:rPr>
        <w:tab/>
        <w:t>זכאות להשתתפות תעשייתית</w:t>
      </w:r>
    </w:p>
    <w:p w14:paraId="56515FDF" w14:textId="77777777" w:rsidR="003F2972" w:rsidRDefault="003F2972" w:rsidP="00D812C1">
      <w:pPr>
        <w:pStyle w:val="P00"/>
        <w:spacing w:before="72"/>
        <w:ind w:left="624" w:right="1134"/>
        <w:rPr>
          <w:rStyle w:val="default"/>
          <w:rFonts w:cs="FrankRuehl" w:hint="cs"/>
          <w:sz w:val="20"/>
          <w:rtl/>
        </w:rPr>
      </w:pPr>
      <w:r>
        <w:rPr>
          <w:rStyle w:val="default"/>
          <w:rFonts w:cs="FrankRuehl" w:hint="cs"/>
          <w:sz w:val="20"/>
          <w:rtl/>
        </w:rPr>
        <w:t xml:space="preserve">בכפוף לסעיף 2.5 להלן, חברות המציעות טובין ושירותים שמקורם בישראל יהיו זכאיות להגיש הצעות לחוזי </w:t>
      </w:r>
      <w:r>
        <w:rPr>
          <w:rStyle w:val="default"/>
          <w:rFonts w:cs="FrankRuehl"/>
          <w:sz w:val="20"/>
        </w:rPr>
        <w:t>CERN</w:t>
      </w:r>
      <w:r>
        <w:rPr>
          <w:rStyle w:val="default"/>
          <w:rFonts w:cs="FrankRuehl" w:hint="cs"/>
          <w:sz w:val="20"/>
          <w:rtl/>
        </w:rPr>
        <w:t xml:space="preserve">, בכפוף להחלה, בשינויים המתחייבים, של כללי ונוהלי הרכב של </w:t>
      </w:r>
      <w:r>
        <w:rPr>
          <w:rStyle w:val="default"/>
          <w:rFonts w:cs="FrankRuehl"/>
          <w:sz w:val="20"/>
        </w:rPr>
        <w:t>CERN</w:t>
      </w:r>
      <w:r>
        <w:rPr>
          <w:rStyle w:val="default"/>
          <w:rFonts w:cs="FrankRuehl" w:hint="cs"/>
          <w:sz w:val="20"/>
          <w:rtl/>
        </w:rPr>
        <w:t xml:space="preserve"> (כפי שהם מפורטים כיום בנספח 1 לתקנות ליישום הכללים הפיננסיים </w:t>
      </w:r>
      <w:r>
        <w:rPr>
          <w:rStyle w:val="default"/>
          <w:rFonts w:cs="FrankRuehl"/>
          <w:sz w:val="20"/>
        </w:rPr>
        <w:t>CERN/FC/5305-</w:t>
      </w:r>
      <w:r w:rsidRPr="003F2972">
        <w:rPr>
          <w:rStyle w:val="default"/>
          <w:rFonts w:cs="FrankRuehl"/>
          <w:sz w:val="20"/>
        </w:rPr>
        <w:t xml:space="preserve"> </w:t>
      </w:r>
      <w:r>
        <w:rPr>
          <w:rStyle w:val="default"/>
          <w:rFonts w:cs="FrankRuehl"/>
          <w:sz w:val="20"/>
        </w:rPr>
        <w:t>CERN/2822</w:t>
      </w:r>
      <w:r>
        <w:rPr>
          <w:rStyle w:val="default"/>
          <w:rFonts w:cs="FrankRuehl" w:hint="cs"/>
          <w:sz w:val="20"/>
          <w:rtl/>
        </w:rPr>
        <w:t>). ישראל רשאית למנות קצין קישור תעשייתי.</w:t>
      </w:r>
    </w:p>
    <w:p w14:paraId="0AD7C5E8" w14:textId="77777777" w:rsidR="003F2972" w:rsidRPr="00D812C1" w:rsidRDefault="003F2972" w:rsidP="00B46641">
      <w:pPr>
        <w:pStyle w:val="P00"/>
        <w:spacing w:before="72"/>
        <w:ind w:left="0" w:right="1134"/>
        <w:rPr>
          <w:rStyle w:val="default"/>
          <w:rFonts w:cs="FrankRuehl" w:hint="cs"/>
          <w:b/>
          <w:bCs/>
          <w:sz w:val="18"/>
          <w:szCs w:val="22"/>
          <w:rtl/>
        </w:rPr>
      </w:pPr>
      <w:r w:rsidRPr="00D812C1">
        <w:rPr>
          <w:rStyle w:val="default"/>
          <w:rFonts w:cs="FrankRuehl" w:hint="cs"/>
          <w:b/>
          <w:bCs/>
          <w:sz w:val="18"/>
          <w:szCs w:val="22"/>
          <w:rtl/>
        </w:rPr>
        <w:t>2.5</w:t>
      </w:r>
      <w:r w:rsidRPr="00D812C1">
        <w:rPr>
          <w:rStyle w:val="default"/>
          <w:rFonts w:cs="FrankRuehl" w:hint="cs"/>
          <w:b/>
          <w:bCs/>
          <w:sz w:val="18"/>
          <w:szCs w:val="22"/>
          <w:rtl/>
        </w:rPr>
        <w:tab/>
        <w:t>תקרה והסדרים מפורטים</w:t>
      </w:r>
    </w:p>
    <w:p w14:paraId="12D00B3C" w14:textId="77777777" w:rsidR="003F2972" w:rsidRDefault="003F2972" w:rsidP="009D2C88">
      <w:pPr>
        <w:pStyle w:val="P00"/>
        <w:spacing w:before="72"/>
        <w:ind w:left="624" w:right="1134"/>
        <w:rPr>
          <w:rStyle w:val="default"/>
          <w:rFonts w:cs="FrankRuehl" w:hint="cs"/>
          <w:sz w:val="20"/>
          <w:rtl/>
        </w:rPr>
      </w:pPr>
      <w:r>
        <w:rPr>
          <w:rStyle w:val="default"/>
          <w:rFonts w:cs="FrankRuehl" w:hint="cs"/>
          <w:sz w:val="20"/>
          <w:rtl/>
        </w:rPr>
        <w:t xml:space="preserve">הערך הפיננסי המשולב </w:t>
      </w:r>
      <w:r w:rsidR="00D812C1">
        <w:rPr>
          <w:rStyle w:val="default"/>
          <w:rFonts w:cs="FrankRuehl" w:hint="cs"/>
          <w:sz w:val="20"/>
          <w:rtl/>
        </w:rPr>
        <w:t>של המינויים והחוזים הנזכרים בסעיפים 2.3 ו-2.4 לעיל לא יחרוג בכל מקרה מסכום התרומה הפיננסית של ישראל. הארגון רשאי לקבוע הסדרים מפורטים. סעיף זה אינו מהווה התחייבות כלשהי בשאלה אם ניתן להגיע לתקרה הנזכרת בסעיף זה או אם יגיעו אליה.</w:t>
      </w:r>
    </w:p>
    <w:p w14:paraId="524BA7E1" w14:textId="77777777" w:rsidR="00D812C1" w:rsidRPr="00D812C1" w:rsidRDefault="00D812C1" w:rsidP="00D812C1">
      <w:pPr>
        <w:pStyle w:val="medium2-header"/>
        <w:keepLines w:val="0"/>
        <w:spacing w:before="72"/>
        <w:ind w:left="0" w:right="1134"/>
        <w:outlineLvl w:val="0"/>
        <w:rPr>
          <w:rFonts w:cs="FrankRuehl" w:hint="cs"/>
          <w:noProof/>
          <w:sz w:val="22"/>
          <w:szCs w:val="22"/>
          <w:rtl/>
        </w:rPr>
      </w:pPr>
      <w:bookmarkStart w:id="5" w:name="med3"/>
      <w:bookmarkEnd w:id="5"/>
      <w:r w:rsidRPr="00D812C1">
        <w:rPr>
          <w:rFonts w:cs="FrankRuehl" w:hint="cs"/>
          <w:noProof/>
          <w:sz w:val="22"/>
          <w:szCs w:val="22"/>
          <w:rtl/>
        </w:rPr>
        <w:t>סעיף 3</w:t>
      </w:r>
    </w:p>
    <w:p w14:paraId="3B744D96" w14:textId="77777777" w:rsidR="00D812C1" w:rsidRPr="00D812C1" w:rsidRDefault="00D812C1" w:rsidP="00D812C1">
      <w:pPr>
        <w:pStyle w:val="P00"/>
        <w:spacing w:before="72"/>
        <w:ind w:left="0" w:right="1134"/>
        <w:jc w:val="center"/>
        <w:rPr>
          <w:rStyle w:val="default"/>
          <w:rFonts w:cs="FrankRuehl" w:hint="cs"/>
          <w:b/>
          <w:bCs/>
          <w:sz w:val="22"/>
          <w:szCs w:val="22"/>
          <w:rtl/>
        </w:rPr>
      </w:pPr>
      <w:r w:rsidRPr="00D812C1">
        <w:rPr>
          <w:rStyle w:val="default"/>
          <w:rFonts w:cs="FrankRuehl" w:hint="cs"/>
          <w:b/>
          <w:bCs/>
          <w:sz w:val="22"/>
          <w:szCs w:val="22"/>
          <w:rtl/>
        </w:rPr>
        <w:t>התחייבויות</w:t>
      </w:r>
    </w:p>
    <w:p w14:paraId="77D14E14" w14:textId="77777777" w:rsidR="00D812C1" w:rsidRPr="00D812C1" w:rsidRDefault="00D812C1" w:rsidP="00B46641">
      <w:pPr>
        <w:pStyle w:val="P00"/>
        <w:spacing w:before="72"/>
        <w:ind w:left="0" w:right="1134"/>
        <w:rPr>
          <w:rStyle w:val="default"/>
          <w:rFonts w:cs="FrankRuehl" w:hint="cs"/>
          <w:b/>
          <w:bCs/>
          <w:sz w:val="18"/>
          <w:szCs w:val="22"/>
          <w:rtl/>
        </w:rPr>
      </w:pPr>
      <w:r w:rsidRPr="00D812C1">
        <w:rPr>
          <w:rStyle w:val="default"/>
          <w:rFonts w:cs="FrankRuehl" w:hint="cs"/>
          <w:b/>
          <w:bCs/>
          <w:sz w:val="18"/>
          <w:szCs w:val="22"/>
          <w:rtl/>
        </w:rPr>
        <w:t>3.1</w:t>
      </w:r>
      <w:r w:rsidRPr="00D812C1">
        <w:rPr>
          <w:rStyle w:val="default"/>
          <w:rFonts w:cs="FrankRuehl" w:hint="cs"/>
          <w:b/>
          <w:bCs/>
          <w:sz w:val="18"/>
          <w:szCs w:val="22"/>
          <w:rtl/>
        </w:rPr>
        <w:tab/>
        <w:t>תרומה פיננסית לארגון</w:t>
      </w:r>
    </w:p>
    <w:p w14:paraId="33AD4642" w14:textId="77777777" w:rsidR="00D812C1" w:rsidRDefault="00D812C1" w:rsidP="009D2C88">
      <w:pPr>
        <w:pStyle w:val="P00"/>
        <w:spacing w:before="72"/>
        <w:ind w:left="624" w:right="1134"/>
        <w:rPr>
          <w:rStyle w:val="default"/>
          <w:rFonts w:cs="FrankRuehl" w:hint="cs"/>
          <w:sz w:val="20"/>
          <w:rtl/>
        </w:rPr>
      </w:pPr>
      <w:r>
        <w:rPr>
          <w:rStyle w:val="default"/>
          <w:rFonts w:cs="FrankRuehl" w:hint="cs"/>
          <w:sz w:val="20"/>
          <w:rtl/>
        </w:rPr>
        <w:t xml:space="preserve">ישראל תתרום למימון פעילויות הארגון </w:t>
      </w:r>
      <w:r w:rsidR="009D2C88">
        <w:rPr>
          <w:rStyle w:val="default"/>
          <w:rFonts w:cs="FrankRuehl" w:hint="cs"/>
          <w:sz w:val="20"/>
          <w:rtl/>
        </w:rPr>
        <w:t>ב</w:t>
      </w:r>
      <w:r>
        <w:rPr>
          <w:rStyle w:val="default"/>
          <w:rFonts w:cs="FrankRuehl" w:hint="cs"/>
          <w:sz w:val="20"/>
          <w:rtl/>
        </w:rPr>
        <w:t>סכומים ובהתאם ללוח המפורט להלן. הסכומים מבוטאים באחוזים מן התרומה התיאורטית של ישראל כמדינה חברה, שתיקבע על בסיס הנוסחה והמתודולוגיה לחישוב תרומות של מדינות חברות וסולם התרומות, בהתאמה. התרומה תהיה לפחות 25% מן התרומה התיאורטית של ישראל כמדינה חברה ובשום מקרה לא פחות ממיליון פרנקים שוויצריים. למעט אם פורט אחרת להלן, התרומה תשולם במלואה לכל שנה פיננסית, גם אם מעמד החברות הנלווית כשלב המוקדם לחברות של ישראל מכסה תקופה קצרה יותר.</w:t>
      </w:r>
    </w:p>
    <w:p w14:paraId="196D2885" w14:textId="77777777" w:rsidR="00D812C1" w:rsidRDefault="00D812C1" w:rsidP="009D2C88">
      <w:pPr>
        <w:pStyle w:val="P00"/>
        <w:spacing w:before="72"/>
        <w:ind w:left="624" w:right="1134"/>
        <w:rPr>
          <w:rStyle w:val="default"/>
          <w:rFonts w:cs="FrankRuehl" w:hint="cs"/>
          <w:sz w:val="20"/>
          <w:rtl/>
        </w:rPr>
      </w:pPr>
      <w:r>
        <w:rPr>
          <w:rStyle w:val="default"/>
          <w:rFonts w:cs="FrankRuehl" w:hint="cs"/>
          <w:sz w:val="20"/>
          <w:rtl/>
        </w:rPr>
        <w:t>התרומה תהיה:</w:t>
      </w:r>
    </w:p>
    <w:p w14:paraId="0BB8484B" w14:textId="77777777" w:rsidR="009D2C88" w:rsidRDefault="009D2C88" w:rsidP="009D2C88">
      <w:pPr>
        <w:pStyle w:val="P00"/>
        <w:spacing w:before="72"/>
        <w:ind w:left="624" w:right="1134"/>
        <w:rPr>
          <w:rStyle w:val="default"/>
          <w:rFonts w:cs="FrankRuehl" w:hint="cs"/>
          <w:sz w:val="20"/>
          <w:rtl/>
        </w:rPr>
      </w:pPr>
      <w:r>
        <w:rPr>
          <w:rStyle w:val="default"/>
          <w:rFonts w:cs="FrankRuehl" w:hint="cs"/>
          <w:sz w:val="20"/>
          <w:rtl/>
        </w:rPr>
        <w:t>2011: 6.25% (ובלבד שהסכם זה ייכנס לתוקף ברבעון הרביעי של 2011)</w:t>
      </w:r>
    </w:p>
    <w:p w14:paraId="37BA0DC8" w14:textId="77777777" w:rsidR="009D2C88" w:rsidRDefault="009D2C88" w:rsidP="009D2C88">
      <w:pPr>
        <w:pStyle w:val="P00"/>
        <w:spacing w:before="72"/>
        <w:ind w:left="624" w:right="1134"/>
        <w:rPr>
          <w:rStyle w:val="default"/>
          <w:rFonts w:cs="FrankRuehl" w:hint="cs"/>
          <w:sz w:val="20"/>
          <w:rtl/>
        </w:rPr>
      </w:pPr>
      <w:r>
        <w:rPr>
          <w:rStyle w:val="default"/>
          <w:rFonts w:cs="FrankRuehl" w:hint="cs"/>
          <w:sz w:val="20"/>
          <w:rtl/>
        </w:rPr>
        <w:t>2012: 25%</w:t>
      </w:r>
    </w:p>
    <w:p w14:paraId="77AF95C2" w14:textId="77777777" w:rsidR="009D2C88" w:rsidRDefault="009D2C88" w:rsidP="009D2C88">
      <w:pPr>
        <w:pStyle w:val="P00"/>
        <w:spacing w:before="72"/>
        <w:ind w:left="624" w:right="1134"/>
        <w:rPr>
          <w:rStyle w:val="default"/>
          <w:rFonts w:cs="FrankRuehl" w:hint="cs"/>
          <w:sz w:val="20"/>
          <w:rtl/>
        </w:rPr>
      </w:pPr>
      <w:r>
        <w:rPr>
          <w:rStyle w:val="default"/>
          <w:rFonts w:cs="FrankRuehl" w:hint="cs"/>
          <w:sz w:val="20"/>
          <w:rtl/>
        </w:rPr>
        <w:t>2013: 26%</w:t>
      </w:r>
    </w:p>
    <w:p w14:paraId="26112718" w14:textId="77777777" w:rsidR="009D2C88" w:rsidRDefault="009D2C88" w:rsidP="009D2C88">
      <w:pPr>
        <w:pStyle w:val="P00"/>
        <w:spacing w:before="72"/>
        <w:ind w:left="624" w:right="1134"/>
        <w:rPr>
          <w:rStyle w:val="default"/>
          <w:rFonts w:cs="FrankRuehl" w:hint="cs"/>
          <w:sz w:val="20"/>
          <w:rtl/>
        </w:rPr>
      </w:pPr>
      <w:r>
        <w:rPr>
          <w:rStyle w:val="default"/>
          <w:rFonts w:cs="FrankRuehl" w:hint="cs"/>
          <w:sz w:val="20"/>
          <w:rtl/>
        </w:rPr>
        <w:t>בהבנה שבמקרה שמעמד החברות הנלווית כשלב המוקדם לחברות של ישראל יימשך מעבר ל-2013, הצדדים יסכימו על שיעור התרומה בר ההחלה, אשר לא יפחת מ-26%.</w:t>
      </w:r>
    </w:p>
    <w:p w14:paraId="7B1581AE" w14:textId="77777777" w:rsidR="009D2C88" w:rsidRPr="009D2C88" w:rsidRDefault="009D2C88" w:rsidP="00B46641">
      <w:pPr>
        <w:pStyle w:val="P00"/>
        <w:spacing w:before="72"/>
        <w:ind w:left="0" w:right="1134"/>
        <w:rPr>
          <w:rStyle w:val="default"/>
          <w:rFonts w:cs="FrankRuehl" w:hint="cs"/>
          <w:b/>
          <w:bCs/>
          <w:sz w:val="18"/>
          <w:szCs w:val="22"/>
          <w:rtl/>
        </w:rPr>
      </w:pPr>
      <w:r w:rsidRPr="009D2C88">
        <w:rPr>
          <w:rStyle w:val="default"/>
          <w:rFonts w:cs="FrankRuehl" w:hint="cs"/>
          <w:b/>
          <w:bCs/>
          <w:sz w:val="18"/>
          <w:szCs w:val="22"/>
          <w:rtl/>
        </w:rPr>
        <w:t>3.2</w:t>
      </w:r>
      <w:r w:rsidRPr="009D2C88">
        <w:rPr>
          <w:rStyle w:val="default"/>
          <w:rFonts w:cs="FrankRuehl" w:hint="cs"/>
          <w:b/>
          <w:bCs/>
          <w:sz w:val="18"/>
          <w:szCs w:val="22"/>
          <w:rtl/>
        </w:rPr>
        <w:tab/>
        <w:t>הענקת זכויות יתר וחסינויות</w:t>
      </w:r>
    </w:p>
    <w:p w14:paraId="031CF8BC" w14:textId="77777777" w:rsidR="009D2C88" w:rsidRDefault="009D2C88" w:rsidP="009D2C88">
      <w:pPr>
        <w:pStyle w:val="P00"/>
        <w:spacing w:before="72"/>
        <w:ind w:left="624" w:right="1134"/>
        <w:rPr>
          <w:rStyle w:val="default"/>
          <w:rFonts w:cs="FrankRuehl" w:hint="cs"/>
          <w:sz w:val="20"/>
          <w:rtl/>
        </w:rPr>
      </w:pPr>
      <w:r>
        <w:rPr>
          <w:rStyle w:val="default"/>
          <w:rFonts w:cs="FrankRuehl" w:hint="cs"/>
          <w:sz w:val="20"/>
          <w:rtl/>
        </w:rPr>
        <w:t>כדי להבטיח את תפקודו בלא הפרעה של הארגון, יחס שווה בין ועל ידי מדינות המעורבות בפעילויותיו, וכן את עצמאות אנשי הסגל של הארגון, ישראל מעניקה בזה את הזכויות והחסינויות ומקבלת את ההתחייבויות הקשורות, כמפורט בנספח. זכויות יתר וחסינויות כאמור מוענקות למען הארגון ולטובתו. אם במקביל או בדיעבד ישראל תתחיל בתהליך של הצטרפות ותהפוך לצד לפרוטוקול בדבר זכויות יתר וחסינויות של הארגון האירופי, שאימצה המועצה ב-19 בדצמבר 2003, הוראות האחרון יבטלו ויחליפו את הוראות הנספח בתוקף מתאריך ההצטרפות האמורה.</w:t>
      </w:r>
    </w:p>
    <w:p w14:paraId="097EF5FA" w14:textId="77777777" w:rsidR="009D2C88" w:rsidRPr="00D812C1" w:rsidRDefault="009D2C88" w:rsidP="009D2C88">
      <w:pPr>
        <w:pStyle w:val="medium2-header"/>
        <w:keepLines w:val="0"/>
        <w:spacing w:before="72"/>
        <w:ind w:left="0" w:right="1134"/>
        <w:outlineLvl w:val="0"/>
        <w:rPr>
          <w:rFonts w:cs="FrankRuehl" w:hint="cs"/>
          <w:noProof/>
          <w:sz w:val="22"/>
          <w:szCs w:val="22"/>
          <w:rtl/>
        </w:rPr>
      </w:pPr>
      <w:bookmarkStart w:id="6" w:name="med4"/>
      <w:bookmarkEnd w:id="6"/>
      <w:r w:rsidRPr="00D812C1">
        <w:rPr>
          <w:rFonts w:cs="FrankRuehl" w:hint="cs"/>
          <w:noProof/>
          <w:sz w:val="22"/>
          <w:szCs w:val="22"/>
          <w:rtl/>
        </w:rPr>
        <w:t xml:space="preserve">סעיף </w:t>
      </w:r>
      <w:r>
        <w:rPr>
          <w:rFonts w:cs="FrankRuehl" w:hint="cs"/>
          <w:noProof/>
          <w:sz w:val="22"/>
          <w:szCs w:val="22"/>
          <w:rtl/>
        </w:rPr>
        <w:t>4</w:t>
      </w:r>
    </w:p>
    <w:p w14:paraId="66AF3BB5" w14:textId="77777777" w:rsidR="009D2C88" w:rsidRPr="00D812C1" w:rsidRDefault="009D2C88" w:rsidP="009D2C8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סיום</w:t>
      </w:r>
    </w:p>
    <w:p w14:paraId="6B926EF3" w14:textId="77777777" w:rsidR="009D2C88" w:rsidRPr="009D2C88" w:rsidRDefault="009D2C88" w:rsidP="009D2C88">
      <w:pPr>
        <w:pStyle w:val="P00"/>
        <w:spacing w:before="72"/>
        <w:ind w:left="0" w:right="1134"/>
        <w:rPr>
          <w:rStyle w:val="default"/>
          <w:rFonts w:cs="FrankRuehl" w:hint="cs"/>
          <w:b/>
          <w:bCs/>
          <w:sz w:val="18"/>
          <w:szCs w:val="22"/>
          <w:rtl/>
        </w:rPr>
      </w:pPr>
      <w:r w:rsidRPr="009D2C88">
        <w:rPr>
          <w:rStyle w:val="default"/>
          <w:rFonts w:cs="FrankRuehl" w:hint="cs"/>
          <w:b/>
          <w:bCs/>
          <w:sz w:val="18"/>
          <w:szCs w:val="22"/>
          <w:rtl/>
        </w:rPr>
        <w:t>4.1</w:t>
      </w:r>
      <w:r w:rsidRPr="009D2C88">
        <w:rPr>
          <w:rStyle w:val="default"/>
          <w:rFonts w:cs="FrankRuehl" w:hint="cs"/>
          <w:b/>
          <w:bCs/>
          <w:sz w:val="18"/>
          <w:szCs w:val="22"/>
          <w:rtl/>
        </w:rPr>
        <w:tab/>
        <w:t>סיום לפי בקשת ישראל</w:t>
      </w:r>
    </w:p>
    <w:p w14:paraId="6BB759E2" w14:textId="77777777" w:rsidR="009D2C88" w:rsidRDefault="009D2C88" w:rsidP="009D2C88">
      <w:pPr>
        <w:pStyle w:val="P00"/>
        <w:spacing w:before="72"/>
        <w:ind w:left="624" w:right="1134"/>
        <w:rPr>
          <w:rStyle w:val="default"/>
          <w:rFonts w:cs="FrankRuehl" w:hint="cs"/>
          <w:sz w:val="20"/>
          <w:rtl/>
        </w:rPr>
      </w:pPr>
      <w:r>
        <w:rPr>
          <w:rStyle w:val="default"/>
          <w:rFonts w:cs="FrankRuehl" w:hint="cs"/>
          <w:sz w:val="20"/>
          <w:rtl/>
        </w:rPr>
        <w:t>אם ישראל מבקשת זאת באיגרת דיפלומטית למנהל הכללי בכל עת בתקופת תוקפו של ההסכם, המועצה תסיים את מעמד החברות הנלווית כשלב המוקדם לחברות של ישראל. להוציא כפי שהוסכם אחרת, הסיום ייכנס לתוקף בתום שנת הכספים שאחרי שנת האיגרת.</w:t>
      </w:r>
    </w:p>
    <w:p w14:paraId="74002BCF" w14:textId="77777777" w:rsidR="009D2C88" w:rsidRPr="009D2C88" w:rsidRDefault="009D2C88" w:rsidP="009D2C88">
      <w:pPr>
        <w:pStyle w:val="P00"/>
        <w:spacing w:before="72"/>
        <w:ind w:left="0" w:right="1134"/>
        <w:rPr>
          <w:rStyle w:val="default"/>
          <w:rFonts w:cs="FrankRuehl" w:hint="cs"/>
          <w:b/>
          <w:bCs/>
          <w:sz w:val="18"/>
          <w:szCs w:val="22"/>
          <w:rtl/>
        </w:rPr>
      </w:pPr>
      <w:r w:rsidRPr="009D2C88">
        <w:rPr>
          <w:rStyle w:val="default"/>
          <w:rFonts w:cs="FrankRuehl" w:hint="cs"/>
          <w:b/>
          <w:bCs/>
          <w:sz w:val="18"/>
          <w:szCs w:val="22"/>
          <w:rtl/>
        </w:rPr>
        <w:t>4.2</w:t>
      </w:r>
      <w:r w:rsidRPr="009D2C88">
        <w:rPr>
          <w:rStyle w:val="default"/>
          <w:rFonts w:cs="FrankRuehl" w:hint="cs"/>
          <w:b/>
          <w:bCs/>
          <w:sz w:val="18"/>
          <w:szCs w:val="22"/>
          <w:rtl/>
        </w:rPr>
        <w:tab/>
        <w:t>סיום ביוזמה משותפת</w:t>
      </w:r>
    </w:p>
    <w:p w14:paraId="459D9604" w14:textId="77777777" w:rsidR="009D2C88" w:rsidRDefault="009D2C88" w:rsidP="009D2C88">
      <w:pPr>
        <w:pStyle w:val="P00"/>
        <w:spacing w:before="72"/>
        <w:ind w:left="624" w:right="1134"/>
        <w:rPr>
          <w:rStyle w:val="default"/>
          <w:rFonts w:cs="FrankRuehl" w:hint="cs"/>
          <w:sz w:val="20"/>
          <w:rtl/>
        </w:rPr>
      </w:pPr>
      <w:r>
        <w:rPr>
          <w:rStyle w:val="default"/>
          <w:rFonts w:cs="FrankRuehl" w:hint="cs"/>
          <w:sz w:val="20"/>
          <w:rtl/>
        </w:rPr>
        <w:t>הצדדים רשאים בכל עת בתקופת תוקפו של ההסכם להחליט ביוזמה משותפת כי המועצה תסיים את מעמד החברות הנלווית כשלב המוקדם לחברות של ישראל. להוציא כפי שהוסכם אחרת, הסיום ייכנס לתוקף בתום שנת הכספים שאחרי שנת האיגרת.</w:t>
      </w:r>
    </w:p>
    <w:p w14:paraId="4990EDFF" w14:textId="77777777" w:rsidR="00065DED" w:rsidRPr="00065DED" w:rsidRDefault="009D2C88" w:rsidP="009D2C88">
      <w:pPr>
        <w:pStyle w:val="P00"/>
        <w:spacing w:before="72"/>
        <w:ind w:left="0" w:right="1134"/>
        <w:rPr>
          <w:rStyle w:val="default"/>
          <w:rFonts w:cs="FrankRuehl" w:hint="cs"/>
          <w:b/>
          <w:bCs/>
          <w:sz w:val="18"/>
          <w:szCs w:val="22"/>
          <w:rtl/>
        </w:rPr>
      </w:pPr>
      <w:r w:rsidRPr="00065DED">
        <w:rPr>
          <w:rStyle w:val="default"/>
          <w:rFonts w:cs="FrankRuehl" w:hint="cs"/>
          <w:b/>
          <w:bCs/>
          <w:sz w:val="18"/>
          <w:szCs w:val="22"/>
          <w:rtl/>
        </w:rPr>
        <w:t>4.3</w:t>
      </w:r>
      <w:r w:rsidRPr="00065DED">
        <w:rPr>
          <w:rStyle w:val="default"/>
          <w:rFonts w:cs="FrankRuehl" w:hint="cs"/>
          <w:b/>
          <w:bCs/>
          <w:sz w:val="18"/>
          <w:szCs w:val="22"/>
          <w:rtl/>
        </w:rPr>
        <w:tab/>
      </w:r>
      <w:r w:rsidR="00065DED" w:rsidRPr="00065DED">
        <w:rPr>
          <w:rStyle w:val="default"/>
          <w:rFonts w:cs="FrankRuehl" w:hint="cs"/>
          <w:b/>
          <w:bCs/>
          <w:sz w:val="18"/>
          <w:szCs w:val="22"/>
          <w:rtl/>
        </w:rPr>
        <w:t>סיום ביוזמת הארגון</w:t>
      </w:r>
    </w:p>
    <w:p w14:paraId="5807219B" w14:textId="77777777" w:rsidR="009D2C88" w:rsidRDefault="00EC6812" w:rsidP="00065DED">
      <w:pPr>
        <w:pStyle w:val="P00"/>
        <w:spacing w:before="72"/>
        <w:ind w:left="624" w:right="1134"/>
        <w:rPr>
          <w:rStyle w:val="default"/>
          <w:rFonts w:cs="FrankRuehl" w:hint="cs"/>
          <w:sz w:val="20"/>
          <w:rtl/>
        </w:rPr>
      </w:pPr>
      <w:r>
        <w:rPr>
          <w:rStyle w:val="default"/>
          <w:rFonts w:cs="FrankRuehl" w:hint="cs"/>
          <w:sz w:val="20"/>
          <w:rtl/>
        </w:rPr>
        <w:t xml:space="preserve">המועצה רשאית בכל עת בתקופת </w:t>
      </w:r>
      <w:r w:rsidR="00065DED">
        <w:rPr>
          <w:rStyle w:val="default"/>
          <w:rFonts w:cs="FrankRuehl" w:hint="cs"/>
          <w:sz w:val="20"/>
          <w:rtl/>
        </w:rPr>
        <w:t>תוקפו של ההסכם, ובתאריך תוקף ככל שהיא תקבע, להחליט לסיים את מעמד החברות הנלווית כשלב המוקדם לחברות של ישראל אם ישראל איננה עומדת עוד באמות המידה למעמד זה, או אם מילוי התחייבויותיה לפי הסכם זה לוקה בחסר חמור.</w:t>
      </w:r>
    </w:p>
    <w:p w14:paraId="24A12C93" w14:textId="77777777" w:rsidR="00065DED" w:rsidRPr="00065DED" w:rsidRDefault="00065DED" w:rsidP="009D2C88">
      <w:pPr>
        <w:pStyle w:val="P00"/>
        <w:spacing w:before="72"/>
        <w:ind w:left="0" w:right="1134"/>
        <w:rPr>
          <w:rStyle w:val="default"/>
          <w:rFonts w:cs="FrankRuehl" w:hint="cs"/>
          <w:b/>
          <w:bCs/>
          <w:sz w:val="18"/>
          <w:szCs w:val="22"/>
          <w:rtl/>
        </w:rPr>
      </w:pPr>
      <w:r w:rsidRPr="00065DED">
        <w:rPr>
          <w:rStyle w:val="default"/>
          <w:rFonts w:cs="FrankRuehl" w:hint="cs"/>
          <w:b/>
          <w:bCs/>
          <w:sz w:val="18"/>
          <w:szCs w:val="22"/>
          <w:rtl/>
        </w:rPr>
        <w:t>4.4</w:t>
      </w:r>
      <w:r w:rsidRPr="00065DED">
        <w:rPr>
          <w:rStyle w:val="default"/>
          <w:rFonts w:cs="FrankRuehl" w:hint="cs"/>
          <w:b/>
          <w:bCs/>
          <w:sz w:val="18"/>
          <w:szCs w:val="22"/>
          <w:rtl/>
        </w:rPr>
        <w:tab/>
        <w:t>סיום אוטומטי</w:t>
      </w:r>
    </w:p>
    <w:p w14:paraId="5637C124" w14:textId="77777777" w:rsidR="00065DED" w:rsidRDefault="00065DED" w:rsidP="00065DED">
      <w:pPr>
        <w:pStyle w:val="P00"/>
        <w:spacing w:before="72"/>
        <w:ind w:left="624" w:right="1134"/>
        <w:rPr>
          <w:rStyle w:val="default"/>
          <w:rFonts w:cs="FrankRuehl" w:hint="cs"/>
          <w:sz w:val="20"/>
          <w:rtl/>
        </w:rPr>
      </w:pPr>
      <w:r>
        <w:rPr>
          <w:rStyle w:val="default"/>
          <w:rFonts w:cs="FrankRuehl" w:hint="cs"/>
          <w:sz w:val="20"/>
          <w:rtl/>
        </w:rPr>
        <w:t>מעמד החברות הנלווית כשלב המוקדם לחברות של ישראל יסתיים אוטומטית בתוקף מתאריך תחילת החברות בארגון, ומתאריך זה יחולו התנאים בני ההחלה על חברות.</w:t>
      </w:r>
    </w:p>
    <w:p w14:paraId="33F975B2" w14:textId="77777777" w:rsidR="00065DED" w:rsidRPr="00065DED" w:rsidRDefault="00065DED" w:rsidP="009D2C88">
      <w:pPr>
        <w:pStyle w:val="P00"/>
        <w:spacing w:before="72"/>
        <w:ind w:left="0" w:right="1134"/>
        <w:rPr>
          <w:rStyle w:val="default"/>
          <w:rFonts w:cs="FrankRuehl" w:hint="cs"/>
          <w:b/>
          <w:bCs/>
          <w:sz w:val="18"/>
          <w:szCs w:val="22"/>
          <w:rtl/>
        </w:rPr>
      </w:pPr>
      <w:r w:rsidRPr="00065DED">
        <w:rPr>
          <w:rStyle w:val="default"/>
          <w:rFonts w:cs="FrankRuehl" w:hint="cs"/>
          <w:b/>
          <w:bCs/>
          <w:sz w:val="18"/>
          <w:szCs w:val="22"/>
          <w:rtl/>
        </w:rPr>
        <w:t>4.5</w:t>
      </w:r>
      <w:r w:rsidRPr="00065DED">
        <w:rPr>
          <w:rStyle w:val="default"/>
          <w:rFonts w:cs="FrankRuehl" w:hint="cs"/>
          <w:b/>
          <w:bCs/>
          <w:sz w:val="18"/>
          <w:szCs w:val="22"/>
          <w:rtl/>
        </w:rPr>
        <w:tab/>
        <w:t>השלכות הסיום</w:t>
      </w:r>
    </w:p>
    <w:p w14:paraId="0424EB8F" w14:textId="77777777" w:rsidR="00065DED" w:rsidRDefault="00065DED" w:rsidP="00065DED">
      <w:pPr>
        <w:pStyle w:val="P00"/>
        <w:spacing w:before="72"/>
        <w:ind w:left="624" w:right="1134"/>
        <w:rPr>
          <w:rStyle w:val="default"/>
          <w:rFonts w:cs="FrankRuehl" w:hint="cs"/>
          <w:sz w:val="20"/>
          <w:rtl/>
        </w:rPr>
      </w:pPr>
      <w:r>
        <w:rPr>
          <w:rStyle w:val="default"/>
          <w:rFonts w:cs="FrankRuehl" w:hint="cs"/>
          <w:sz w:val="20"/>
          <w:rtl/>
        </w:rPr>
        <w:t>להוציא כפי שהוסכם אחרת, סיום מעמד החברות הנלווית כשלב המוקדם לחברות של ישראל לא יצמצם כל התחייבות שנצמחה לישראל לפי הסכם זה ביחס לתקופה שלפני תאריך התוקף של הסיום. החסינויות וזכויות היתר שהעניקה ישראל יישארו בתוקף למשך השתייכותה לארגון ברמה של הסכם שיתוף פעולה בין-לאומי.</w:t>
      </w:r>
    </w:p>
    <w:p w14:paraId="176D81C7" w14:textId="77777777" w:rsidR="00065DED" w:rsidRPr="00D812C1" w:rsidRDefault="00065DED" w:rsidP="00065DED">
      <w:pPr>
        <w:pStyle w:val="medium2-header"/>
        <w:keepLines w:val="0"/>
        <w:spacing w:before="72"/>
        <w:ind w:left="0" w:right="1134"/>
        <w:outlineLvl w:val="0"/>
        <w:rPr>
          <w:rFonts w:cs="FrankRuehl" w:hint="cs"/>
          <w:noProof/>
          <w:sz w:val="22"/>
          <w:szCs w:val="22"/>
          <w:rtl/>
        </w:rPr>
      </w:pPr>
      <w:bookmarkStart w:id="7" w:name="med5"/>
      <w:bookmarkEnd w:id="7"/>
      <w:r w:rsidRPr="00D812C1">
        <w:rPr>
          <w:rFonts w:cs="FrankRuehl" w:hint="cs"/>
          <w:noProof/>
          <w:sz w:val="22"/>
          <w:szCs w:val="22"/>
          <w:rtl/>
        </w:rPr>
        <w:t xml:space="preserve">סעיף </w:t>
      </w:r>
      <w:r>
        <w:rPr>
          <w:rFonts w:cs="FrankRuehl" w:hint="cs"/>
          <w:noProof/>
          <w:sz w:val="22"/>
          <w:szCs w:val="22"/>
          <w:rtl/>
        </w:rPr>
        <w:t>5</w:t>
      </w:r>
    </w:p>
    <w:p w14:paraId="5F1864F1" w14:textId="77777777" w:rsidR="00065DED" w:rsidRPr="00D812C1" w:rsidRDefault="00065DED" w:rsidP="00065DED">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הוראות שונות</w:t>
      </w:r>
    </w:p>
    <w:p w14:paraId="45E54D7D" w14:textId="77777777" w:rsidR="00065DED" w:rsidRPr="00AF0A70" w:rsidRDefault="00065DED" w:rsidP="009D2C88">
      <w:pPr>
        <w:pStyle w:val="P00"/>
        <w:spacing w:before="72"/>
        <w:ind w:left="0" w:right="1134"/>
        <w:rPr>
          <w:rStyle w:val="default"/>
          <w:rFonts w:cs="FrankRuehl" w:hint="cs"/>
          <w:b/>
          <w:bCs/>
          <w:sz w:val="18"/>
          <w:szCs w:val="22"/>
          <w:rtl/>
        </w:rPr>
      </w:pPr>
      <w:r w:rsidRPr="00AF0A70">
        <w:rPr>
          <w:rStyle w:val="default"/>
          <w:rFonts w:cs="FrankRuehl" w:hint="cs"/>
          <w:b/>
          <w:bCs/>
          <w:sz w:val="18"/>
          <w:szCs w:val="22"/>
          <w:rtl/>
        </w:rPr>
        <w:t>5.1</w:t>
      </w:r>
      <w:r w:rsidRPr="00AF0A70">
        <w:rPr>
          <w:rStyle w:val="default"/>
          <w:rFonts w:cs="FrankRuehl" w:hint="cs"/>
          <w:b/>
          <w:bCs/>
          <w:sz w:val="18"/>
          <w:szCs w:val="22"/>
          <w:rtl/>
        </w:rPr>
        <w:tab/>
        <w:t>ייצוג ישראל</w:t>
      </w:r>
    </w:p>
    <w:p w14:paraId="08DA8962" w14:textId="77777777" w:rsidR="00065DED" w:rsidRDefault="00065DED" w:rsidP="00AF0A70">
      <w:pPr>
        <w:pStyle w:val="P00"/>
        <w:spacing w:before="72"/>
        <w:ind w:left="624" w:right="1134"/>
        <w:rPr>
          <w:rStyle w:val="default"/>
          <w:rFonts w:cs="FrankRuehl" w:hint="cs"/>
          <w:sz w:val="20"/>
          <w:rtl/>
        </w:rPr>
      </w:pPr>
      <w:r>
        <w:rPr>
          <w:rStyle w:val="default"/>
          <w:rFonts w:cs="FrankRuehl" w:hint="cs"/>
          <w:sz w:val="20"/>
          <w:rtl/>
        </w:rPr>
        <w:t>ישראל תודיע למזכיר הכללי את שמות הרשות והפקיד(ים) שמונו לייצג אותה ביישום של הסכם זה, וכן נציגיה המשתתפים במושבי המועצה ובמפגשי ועדותיה.</w:t>
      </w:r>
    </w:p>
    <w:p w14:paraId="42D52754" w14:textId="77777777" w:rsidR="00065DED" w:rsidRPr="00AF0A70" w:rsidRDefault="00065DED" w:rsidP="009D2C88">
      <w:pPr>
        <w:pStyle w:val="P00"/>
        <w:spacing w:before="72"/>
        <w:ind w:left="0" w:right="1134"/>
        <w:rPr>
          <w:rStyle w:val="default"/>
          <w:rFonts w:cs="FrankRuehl" w:hint="cs"/>
          <w:b/>
          <w:bCs/>
          <w:sz w:val="18"/>
          <w:szCs w:val="22"/>
          <w:rtl/>
        </w:rPr>
      </w:pPr>
      <w:r w:rsidRPr="00AF0A70">
        <w:rPr>
          <w:rStyle w:val="default"/>
          <w:rFonts w:cs="FrankRuehl" w:hint="cs"/>
          <w:b/>
          <w:bCs/>
          <w:sz w:val="18"/>
          <w:szCs w:val="22"/>
          <w:rtl/>
        </w:rPr>
        <w:t>5.2</w:t>
      </w:r>
      <w:r w:rsidRPr="00AF0A70">
        <w:rPr>
          <w:rStyle w:val="default"/>
          <w:rFonts w:cs="FrankRuehl" w:hint="cs"/>
          <w:b/>
          <w:bCs/>
          <w:sz w:val="18"/>
          <w:szCs w:val="22"/>
          <w:rtl/>
        </w:rPr>
        <w:tab/>
        <w:t>יחסים עם הסכמים אחרים</w:t>
      </w:r>
    </w:p>
    <w:p w14:paraId="06529A3C" w14:textId="77777777" w:rsidR="00065DED" w:rsidRDefault="00065DED" w:rsidP="00AF0A70">
      <w:pPr>
        <w:pStyle w:val="P00"/>
        <w:spacing w:before="72"/>
        <w:ind w:left="624" w:right="1134"/>
        <w:rPr>
          <w:rStyle w:val="default"/>
          <w:rFonts w:cs="FrankRuehl" w:hint="cs"/>
          <w:sz w:val="20"/>
          <w:rtl/>
        </w:rPr>
      </w:pPr>
      <w:r>
        <w:rPr>
          <w:rStyle w:val="default"/>
          <w:rFonts w:cs="FrankRuehl" w:hint="cs"/>
          <w:sz w:val="20"/>
          <w:rtl/>
        </w:rPr>
        <w:t>הסכם זה מבטל ומחליף את הסכם שיתוף הפעולה ואת פרוטוקול מס' 4 הקיימים בין הצדדים בתוקף החל מתאריך כניסתו לתוקף. מצוין כי נהלים מינהליים מפורטים ביחס לסיום פרוטוקול 4 יוסדרו בחילופי מכתבים בין הצדדים. בכפוף לאמור להלן, הסכם זה לא יפגע בכל הסכם או מזכר הבנה נפרד הנוגע להשתתפות ישראלית בניסויים ב-</w:t>
      </w:r>
      <w:r>
        <w:rPr>
          <w:rStyle w:val="default"/>
          <w:rFonts w:cs="FrankRuehl"/>
          <w:sz w:val="20"/>
        </w:rPr>
        <w:t>CERN</w:t>
      </w:r>
      <w:r>
        <w:rPr>
          <w:rStyle w:val="default"/>
          <w:rFonts w:cs="FrankRuehl" w:hint="cs"/>
          <w:sz w:val="20"/>
          <w:rtl/>
        </w:rPr>
        <w:t>.</w:t>
      </w:r>
    </w:p>
    <w:p w14:paraId="29F3A5AC" w14:textId="77777777" w:rsidR="00065DED" w:rsidRPr="00AF0A70" w:rsidRDefault="00065DED" w:rsidP="009D2C88">
      <w:pPr>
        <w:pStyle w:val="P00"/>
        <w:spacing w:before="72"/>
        <w:ind w:left="0" w:right="1134"/>
        <w:rPr>
          <w:rStyle w:val="default"/>
          <w:rFonts w:cs="FrankRuehl" w:hint="cs"/>
          <w:b/>
          <w:bCs/>
          <w:sz w:val="18"/>
          <w:szCs w:val="22"/>
          <w:rtl/>
        </w:rPr>
      </w:pPr>
      <w:r w:rsidRPr="00AF0A70">
        <w:rPr>
          <w:rStyle w:val="default"/>
          <w:rFonts w:cs="FrankRuehl" w:hint="cs"/>
          <w:b/>
          <w:bCs/>
          <w:sz w:val="18"/>
          <w:szCs w:val="22"/>
          <w:rtl/>
        </w:rPr>
        <w:t>5.3</w:t>
      </w:r>
      <w:r w:rsidRPr="00AF0A70">
        <w:rPr>
          <w:rStyle w:val="default"/>
          <w:rFonts w:cs="FrankRuehl" w:hint="cs"/>
          <w:b/>
          <w:bCs/>
          <w:sz w:val="18"/>
          <w:szCs w:val="22"/>
          <w:rtl/>
        </w:rPr>
        <w:tab/>
        <w:t>החוק המסדיר</w:t>
      </w:r>
    </w:p>
    <w:p w14:paraId="032781F8" w14:textId="77777777" w:rsidR="00065DED" w:rsidRDefault="00065DED" w:rsidP="00AF0A70">
      <w:pPr>
        <w:pStyle w:val="P00"/>
        <w:spacing w:before="72"/>
        <w:ind w:left="624" w:right="1134"/>
        <w:rPr>
          <w:rStyle w:val="default"/>
          <w:rFonts w:cs="FrankRuehl" w:hint="cs"/>
          <w:sz w:val="20"/>
          <w:rtl/>
        </w:rPr>
      </w:pPr>
      <w:r>
        <w:rPr>
          <w:rStyle w:val="default"/>
          <w:rFonts w:cs="FrankRuehl" w:hint="cs"/>
          <w:sz w:val="20"/>
          <w:rtl/>
        </w:rPr>
        <w:t xml:space="preserve">הוראות הסכם זה יפורשו בהתאם למשמעותן ולתוקפן האמיתיים, תמיד בכפוף למסגרת המשפטית של </w:t>
      </w:r>
      <w:r>
        <w:rPr>
          <w:rStyle w:val="default"/>
          <w:rFonts w:cs="FrankRuehl"/>
          <w:sz w:val="20"/>
        </w:rPr>
        <w:t>CERN</w:t>
      </w:r>
      <w:r>
        <w:rPr>
          <w:rStyle w:val="default"/>
          <w:rFonts w:cs="FrankRuehl" w:hint="cs"/>
          <w:sz w:val="20"/>
          <w:rtl/>
        </w:rPr>
        <w:t>, כמפורט בעיקר באמנה, בכללים ובתקנות של הארגון ובהחלטות גופיו.</w:t>
      </w:r>
    </w:p>
    <w:p w14:paraId="1DB1A957" w14:textId="77777777" w:rsidR="00065DED" w:rsidRPr="00AF0A70" w:rsidRDefault="00065DED" w:rsidP="009D2C88">
      <w:pPr>
        <w:pStyle w:val="P00"/>
        <w:spacing w:before="72"/>
        <w:ind w:left="0" w:right="1134"/>
        <w:rPr>
          <w:rStyle w:val="default"/>
          <w:rFonts w:cs="FrankRuehl" w:hint="cs"/>
          <w:b/>
          <w:bCs/>
          <w:sz w:val="18"/>
          <w:szCs w:val="22"/>
          <w:rtl/>
        </w:rPr>
      </w:pPr>
      <w:r w:rsidRPr="00AF0A70">
        <w:rPr>
          <w:rStyle w:val="default"/>
          <w:rFonts w:cs="FrankRuehl" w:hint="cs"/>
          <w:b/>
          <w:bCs/>
          <w:sz w:val="18"/>
          <w:szCs w:val="22"/>
          <w:rtl/>
        </w:rPr>
        <w:t>5.4</w:t>
      </w:r>
      <w:r w:rsidRPr="00AF0A70">
        <w:rPr>
          <w:rStyle w:val="default"/>
          <w:rFonts w:cs="FrankRuehl" w:hint="cs"/>
          <w:b/>
          <w:bCs/>
          <w:sz w:val="18"/>
          <w:szCs w:val="22"/>
          <w:rtl/>
        </w:rPr>
        <w:tab/>
        <w:t>כניסה לתוקף ומשך</w:t>
      </w:r>
    </w:p>
    <w:p w14:paraId="43BA2275" w14:textId="77777777" w:rsidR="00065DED" w:rsidRDefault="00065DED" w:rsidP="00AF0A70">
      <w:pPr>
        <w:pStyle w:val="P00"/>
        <w:spacing w:before="72"/>
        <w:ind w:left="624" w:right="1134"/>
        <w:rPr>
          <w:rStyle w:val="default"/>
          <w:rFonts w:cs="FrankRuehl" w:hint="cs"/>
          <w:sz w:val="20"/>
          <w:rtl/>
        </w:rPr>
      </w:pPr>
      <w:r>
        <w:rPr>
          <w:rStyle w:val="default"/>
          <w:rFonts w:cs="FrankRuehl" w:hint="cs"/>
          <w:sz w:val="20"/>
          <w:rtl/>
        </w:rPr>
        <w:t>הסכם זה ייכנס לתוקף מתאריך קבלת הודעת ישראל על ידי המזכיר הכללי כי היא השלימה את נוהלי האישור הפנימיים שלה ביחס להסכם זה. במקרה הבלתי סביר שלא התקבלה הודעה כאמור עד 1 בדצמבר 2013, המועצה רשאית להחליט על ביטול התחייבויות הארגון, כולל החלטת המועצה שביסודן.</w:t>
      </w:r>
    </w:p>
    <w:p w14:paraId="56C8C7A8" w14:textId="77777777" w:rsidR="00065DED" w:rsidRPr="00AF0A70" w:rsidRDefault="00065DED" w:rsidP="009D2C88">
      <w:pPr>
        <w:pStyle w:val="P00"/>
        <w:spacing w:before="72"/>
        <w:ind w:left="0" w:right="1134"/>
        <w:rPr>
          <w:rStyle w:val="default"/>
          <w:rFonts w:cs="FrankRuehl" w:hint="cs"/>
          <w:b/>
          <w:bCs/>
          <w:sz w:val="18"/>
          <w:szCs w:val="22"/>
          <w:rtl/>
        </w:rPr>
      </w:pPr>
      <w:r w:rsidRPr="00AF0A70">
        <w:rPr>
          <w:rStyle w:val="default"/>
          <w:rFonts w:cs="FrankRuehl" w:hint="cs"/>
          <w:b/>
          <w:bCs/>
          <w:sz w:val="18"/>
          <w:szCs w:val="22"/>
          <w:rtl/>
        </w:rPr>
        <w:t>5.5</w:t>
      </w:r>
      <w:r w:rsidRPr="00AF0A70">
        <w:rPr>
          <w:rStyle w:val="default"/>
          <w:rFonts w:cs="FrankRuehl" w:hint="cs"/>
          <w:b/>
          <w:bCs/>
          <w:sz w:val="18"/>
          <w:szCs w:val="22"/>
          <w:rtl/>
        </w:rPr>
        <w:tab/>
        <w:t>מחלוקות</w:t>
      </w:r>
    </w:p>
    <w:p w14:paraId="6FA05A1C" w14:textId="77777777" w:rsidR="00065DED" w:rsidRDefault="00065DED" w:rsidP="00AF0A70">
      <w:pPr>
        <w:pStyle w:val="P00"/>
        <w:spacing w:before="72"/>
        <w:ind w:left="624" w:right="1134"/>
        <w:rPr>
          <w:rStyle w:val="default"/>
          <w:rFonts w:cs="FrankRuehl" w:hint="cs"/>
          <w:sz w:val="20"/>
          <w:rtl/>
        </w:rPr>
      </w:pPr>
      <w:r>
        <w:rPr>
          <w:rStyle w:val="default"/>
          <w:rFonts w:cs="FrankRuehl" w:hint="cs"/>
          <w:sz w:val="20"/>
          <w:rtl/>
        </w:rPr>
        <w:t>כל מחלוקת בין ישראל לבין הארגון בנוגע לפרשנות ההסכם זה או להחלתו אשר לא יושבה בדרכי נועם, כל צד רשאי להביא לפני בית-דין בין-לאומי לבוררות, בהתאם (או לפי המקרה, בהחלה מקבילה של) סעיף 14 לנספח.</w:t>
      </w:r>
    </w:p>
    <w:p w14:paraId="75ADDB74" w14:textId="77777777" w:rsidR="00065DED" w:rsidRDefault="00065DED" w:rsidP="00AF0A70">
      <w:pPr>
        <w:pStyle w:val="P00"/>
        <w:spacing w:before="72"/>
        <w:ind w:left="624" w:right="1134"/>
        <w:rPr>
          <w:rStyle w:val="default"/>
          <w:rFonts w:cs="FrankRuehl" w:hint="cs"/>
          <w:sz w:val="20"/>
          <w:rtl/>
        </w:rPr>
      </w:pPr>
      <w:r>
        <w:rPr>
          <w:rStyle w:val="default"/>
          <w:rFonts w:cs="FrankRuehl" w:hint="cs"/>
          <w:sz w:val="20"/>
          <w:rtl/>
        </w:rPr>
        <w:t>נעשה בשני עותקים בשפות אנגלית, צרפתית ועבר</w:t>
      </w:r>
      <w:r w:rsidR="00AF0A70">
        <w:rPr>
          <w:rStyle w:val="default"/>
          <w:rFonts w:cs="FrankRuehl" w:hint="cs"/>
          <w:sz w:val="20"/>
          <w:rtl/>
        </w:rPr>
        <w:t>י</w:t>
      </w:r>
      <w:r>
        <w:rPr>
          <w:rStyle w:val="default"/>
          <w:rFonts w:cs="FrankRuehl" w:hint="cs"/>
          <w:sz w:val="20"/>
          <w:rtl/>
        </w:rPr>
        <w:t>ת, ולכל הנוסחים דין מקור שווה, מתוך הבנה כי במקרה של בעיות פרשנות או סתירה בין הנוסחים, יכריע הנוסח האנגלי.</w:t>
      </w:r>
    </w:p>
    <w:p w14:paraId="29C8F7F0" w14:textId="77777777" w:rsidR="00065DED" w:rsidRDefault="00065DED" w:rsidP="00AF0A70">
      <w:pPr>
        <w:pStyle w:val="P00"/>
        <w:spacing w:before="72"/>
        <w:ind w:left="624" w:right="1134"/>
        <w:rPr>
          <w:rStyle w:val="default"/>
          <w:rFonts w:cs="FrankRuehl" w:hint="cs"/>
          <w:sz w:val="20"/>
          <w:rtl/>
        </w:rPr>
      </w:pPr>
      <w:r>
        <w:rPr>
          <w:rStyle w:val="default"/>
          <w:rFonts w:cs="FrankRuehl" w:hint="cs"/>
          <w:sz w:val="20"/>
          <w:rtl/>
        </w:rPr>
        <w:t>נעשה בז'נבה</w:t>
      </w:r>
      <w:r w:rsidR="00AF0A70">
        <w:rPr>
          <w:rStyle w:val="default"/>
          <w:rFonts w:cs="FrankRuehl" w:hint="cs"/>
          <w:sz w:val="20"/>
          <w:rtl/>
        </w:rPr>
        <w:t xml:space="preserve"> ב-16 בספטמבר 2011, שהוא יום י"ז באלול התשע"א לפי הלוח העברי.</w:t>
      </w:r>
    </w:p>
    <w:p w14:paraId="1DDC8356" w14:textId="77777777" w:rsidR="00AF0A70" w:rsidRDefault="00AF0A70" w:rsidP="009D2C88">
      <w:pPr>
        <w:pStyle w:val="P00"/>
        <w:spacing w:before="72"/>
        <w:ind w:left="0" w:right="1134"/>
        <w:rPr>
          <w:rStyle w:val="default"/>
          <w:rFonts w:cs="FrankRuehl" w:hint="cs"/>
          <w:sz w:val="20"/>
          <w:rtl/>
        </w:rPr>
      </w:pPr>
    </w:p>
    <w:p w14:paraId="2FA74938" w14:textId="77777777" w:rsidR="00AF0A70" w:rsidRDefault="00AF0A70" w:rsidP="00AF0A70">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0"/>
          <w:rtl/>
        </w:rPr>
      </w:pPr>
      <w:r>
        <w:rPr>
          <w:rStyle w:val="default"/>
          <w:rFonts w:cs="FrankRuehl" w:hint="cs"/>
          <w:sz w:val="20"/>
          <w:rtl/>
        </w:rPr>
        <w:tab/>
        <w:t>בשם ממשלת ישראל</w:t>
      </w:r>
      <w:r>
        <w:rPr>
          <w:rStyle w:val="default"/>
          <w:rFonts w:cs="FrankRuehl" w:hint="cs"/>
          <w:sz w:val="20"/>
          <w:rtl/>
        </w:rPr>
        <w:tab/>
        <w:t xml:space="preserve">בשם הארגון האירופי </w:t>
      </w:r>
    </w:p>
    <w:p w14:paraId="3FB0AE0E" w14:textId="77777777" w:rsidR="00AF0A70" w:rsidRDefault="00AF0A70" w:rsidP="00AF0A70">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t>למחקר גרעיני (</w:t>
      </w:r>
      <w:r>
        <w:rPr>
          <w:rStyle w:val="default"/>
          <w:rFonts w:cs="FrankRuehl"/>
          <w:sz w:val="20"/>
        </w:rPr>
        <w:t>CERN</w:t>
      </w:r>
      <w:r>
        <w:rPr>
          <w:rStyle w:val="default"/>
          <w:rFonts w:cs="FrankRuehl" w:hint="cs"/>
          <w:sz w:val="20"/>
          <w:rtl/>
        </w:rPr>
        <w:t>)</w:t>
      </w:r>
    </w:p>
    <w:p w14:paraId="78121836" w14:textId="77777777" w:rsidR="00AF0A70" w:rsidRDefault="00AF0A70" w:rsidP="00AF0A70">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0"/>
          <w:rtl/>
        </w:rPr>
      </w:pPr>
      <w:r>
        <w:rPr>
          <w:rStyle w:val="default"/>
          <w:rFonts w:cs="FrankRuehl" w:hint="cs"/>
          <w:sz w:val="20"/>
          <w:rtl/>
        </w:rPr>
        <w:tab/>
        <w:t>_________________</w:t>
      </w:r>
      <w:r>
        <w:rPr>
          <w:rStyle w:val="default"/>
          <w:rFonts w:cs="FrankRuehl" w:hint="cs"/>
          <w:sz w:val="20"/>
          <w:rtl/>
        </w:rPr>
        <w:tab/>
      </w:r>
    </w:p>
    <w:p w14:paraId="6937DA9B" w14:textId="77777777" w:rsidR="00AF0A70" w:rsidRPr="00AF0A70" w:rsidRDefault="00AF0A70" w:rsidP="00AF0A70">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18"/>
          <w:szCs w:val="22"/>
          <w:rtl/>
        </w:rPr>
      </w:pPr>
      <w:r w:rsidRPr="00AF0A70">
        <w:rPr>
          <w:rStyle w:val="default"/>
          <w:rFonts w:cs="FrankRuehl" w:hint="cs"/>
          <w:sz w:val="18"/>
          <w:szCs w:val="22"/>
          <w:rtl/>
        </w:rPr>
        <w:tab/>
        <w:t>על ידי אהרון לשנו יער, שגריר ישראל</w:t>
      </w:r>
      <w:r w:rsidRPr="00AF0A70">
        <w:rPr>
          <w:rStyle w:val="default"/>
          <w:rFonts w:cs="FrankRuehl" w:hint="cs"/>
          <w:sz w:val="18"/>
          <w:szCs w:val="22"/>
          <w:rtl/>
        </w:rPr>
        <w:tab/>
      </w:r>
      <w:r>
        <w:rPr>
          <w:rStyle w:val="default"/>
          <w:rFonts w:cs="FrankRuehl" w:hint="cs"/>
          <w:sz w:val="20"/>
          <w:rtl/>
        </w:rPr>
        <w:t>_________________</w:t>
      </w:r>
    </w:p>
    <w:p w14:paraId="1ECA6A6A" w14:textId="77777777" w:rsidR="00AF0A70" w:rsidRPr="00AF0A70" w:rsidRDefault="00AF0A70" w:rsidP="00AF0A70">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18"/>
          <w:szCs w:val="22"/>
          <w:rtl/>
        </w:rPr>
      </w:pPr>
      <w:r w:rsidRPr="00AF0A70">
        <w:rPr>
          <w:rStyle w:val="default"/>
          <w:rFonts w:cs="FrankRuehl" w:hint="cs"/>
          <w:sz w:val="18"/>
          <w:szCs w:val="22"/>
          <w:rtl/>
        </w:rPr>
        <w:tab/>
        <w:t xml:space="preserve">והנציג הקבוע למשרד האומות </w:t>
      </w:r>
      <w:r w:rsidRPr="00AF0A70">
        <w:rPr>
          <w:rStyle w:val="default"/>
          <w:rFonts w:cs="FrankRuehl" w:hint="cs"/>
          <w:sz w:val="18"/>
          <w:szCs w:val="22"/>
          <w:rtl/>
        </w:rPr>
        <w:tab/>
        <w:t>על ידי פרופ' רולף דיטר הויר</w:t>
      </w:r>
    </w:p>
    <w:p w14:paraId="566132E2" w14:textId="77777777" w:rsidR="00AF0A70" w:rsidRPr="00AF0A70" w:rsidRDefault="00AF0A70" w:rsidP="00AF0A70">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18"/>
          <w:szCs w:val="22"/>
          <w:rtl/>
        </w:rPr>
      </w:pPr>
      <w:r w:rsidRPr="00AF0A70">
        <w:rPr>
          <w:rStyle w:val="default"/>
          <w:rFonts w:cs="FrankRuehl" w:hint="cs"/>
          <w:sz w:val="18"/>
          <w:szCs w:val="22"/>
          <w:rtl/>
        </w:rPr>
        <w:tab/>
        <w:t>המאוחדות ולארגונים בין-לאומיים</w:t>
      </w:r>
      <w:r w:rsidRPr="00AF0A70">
        <w:rPr>
          <w:rStyle w:val="default"/>
          <w:rFonts w:cs="FrankRuehl" w:hint="cs"/>
          <w:sz w:val="18"/>
          <w:szCs w:val="22"/>
          <w:rtl/>
        </w:rPr>
        <w:tab/>
        <w:t>המנהל הכללי של הארגון האירופאי</w:t>
      </w:r>
    </w:p>
    <w:p w14:paraId="69E9E1CA" w14:textId="77777777" w:rsidR="00AF0A70" w:rsidRPr="00AF0A70" w:rsidRDefault="00AF0A70" w:rsidP="00AF0A70">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18"/>
          <w:szCs w:val="22"/>
          <w:rtl/>
        </w:rPr>
      </w:pPr>
      <w:r w:rsidRPr="00AF0A70">
        <w:rPr>
          <w:rStyle w:val="default"/>
          <w:rFonts w:cs="FrankRuehl" w:hint="cs"/>
          <w:sz w:val="18"/>
          <w:szCs w:val="22"/>
          <w:rtl/>
        </w:rPr>
        <w:tab/>
        <w:t>אחרים בג'נבה</w:t>
      </w:r>
      <w:r>
        <w:rPr>
          <w:rStyle w:val="default"/>
          <w:rFonts w:cs="FrankRuehl" w:hint="cs"/>
          <w:sz w:val="18"/>
          <w:szCs w:val="22"/>
          <w:rtl/>
        </w:rPr>
        <w:tab/>
      </w:r>
      <w:r w:rsidRPr="00AF0A70">
        <w:rPr>
          <w:rStyle w:val="default"/>
          <w:rFonts w:cs="FrankRuehl" w:hint="cs"/>
          <w:sz w:val="18"/>
          <w:szCs w:val="22"/>
          <w:rtl/>
        </w:rPr>
        <w:t>למחקר גרעיני (</w:t>
      </w:r>
      <w:r w:rsidRPr="00AF0A70">
        <w:rPr>
          <w:rStyle w:val="default"/>
          <w:rFonts w:cs="FrankRuehl"/>
          <w:sz w:val="18"/>
          <w:szCs w:val="22"/>
        </w:rPr>
        <w:t>CERN</w:t>
      </w:r>
      <w:r w:rsidRPr="00AF0A70">
        <w:rPr>
          <w:rStyle w:val="default"/>
          <w:rFonts w:cs="FrankRuehl" w:hint="cs"/>
          <w:sz w:val="18"/>
          <w:szCs w:val="22"/>
          <w:rtl/>
        </w:rPr>
        <w:t>)</w:t>
      </w:r>
    </w:p>
    <w:p w14:paraId="4C87EC7B" w14:textId="77777777" w:rsidR="00AF0A70" w:rsidRDefault="00AF0A70" w:rsidP="009D2C88">
      <w:pPr>
        <w:pStyle w:val="P00"/>
        <w:spacing w:before="72"/>
        <w:ind w:left="0" w:right="1134"/>
        <w:rPr>
          <w:rStyle w:val="default"/>
          <w:rFonts w:cs="FrankRuehl" w:hint="cs"/>
          <w:sz w:val="20"/>
          <w:rtl/>
        </w:rPr>
      </w:pPr>
    </w:p>
    <w:p w14:paraId="15880C51" w14:textId="77777777" w:rsidR="00AF0A70" w:rsidRPr="00AF0A70" w:rsidRDefault="00AF0A70" w:rsidP="00AF0A70">
      <w:pPr>
        <w:pStyle w:val="medium2-header"/>
        <w:keepLines w:val="0"/>
        <w:spacing w:before="72"/>
        <w:ind w:left="0" w:right="1134"/>
        <w:outlineLvl w:val="0"/>
        <w:rPr>
          <w:rFonts w:cs="FrankRuehl" w:hint="cs"/>
          <w:noProof/>
          <w:rtl/>
        </w:rPr>
      </w:pPr>
      <w:bookmarkStart w:id="8" w:name="med6"/>
      <w:bookmarkEnd w:id="8"/>
      <w:r w:rsidRPr="00AF0A70">
        <w:rPr>
          <w:rFonts w:cs="FrankRuehl" w:hint="cs"/>
          <w:noProof/>
          <w:rtl/>
        </w:rPr>
        <w:t>נספח</w:t>
      </w:r>
    </w:p>
    <w:p w14:paraId="1F4D4CE7" w14:textId="77777777" w:rsidR="00AF0A70" w:rsidRPr="00AF0A70" w:rsidRDefault="00AF0A70" w:rsidP="00AF0A70">
      <w:pPr>
        <w:pStyle w:val="P00"/>
        <w:spacing w:before="72"/>
        <w:ind w:left="0" w:right="1134"/>
        <w:jc w:val="center"/>
        <w:rPr>
          <w:rStyle w:val="default"/>
          <w:rFonts w:cs="FrankRuehl" w:hint="cs"/>
          <w:b/>
          <w:bCs/>
          <w:sz w:val="24"/>
          <w:szCs w:val="24"/>
          <w:rtl/>
        </w:rPr>
      </w:pPr>
      <w:r w:rsidRPr="00AF0A70">
        <w:rPr>
          <w:rStyle w:val="default"/>
          <w:rFonts w:cs="FrankRuehl" w:hint="cs"/>
          <w:b/>
          <w:bCs/>
          <w:sz w:val="24"/>
          <w:szCs w:val="24"/>
          <w:rtl/>
        </w:rPr>
        <w:t>זכויות יתר וחסינויות</w:t>
      </w:r>
    </w:p>
    <w:p w14:paraId="738C0CB6" w14:textId="77777777" w:rsidR="00AF0A70" w:rsidRPr="00D812C1" w:rsidRDefault="00AF0A70" w:rsidP="00AF0A70">
      <w:pPr>
        <w:pStyle w:val="medium2-header"/>
        <w:keepLines w:val="0"/>
        <w:spacing w:before="72"/>
        <w:ind w:left="0" w:right="1134"/>
        <w:outlineLvl w:val="0"/>
        <w:rPr>
          <w:rFonts w:cs="FrankRuehl" w:hint="cs"/>
          <w:noProof/>
          <w:sz w:val="22"/>
          <w:szCs w:val="22"/>
          <w:rtl/>
        </w:rPr>
      </w:pPr>
      <w:bookmarkStart w:id="9" w:name="med7"/>
      <w:bookmarkEnd w:id="9"/>
      <w:r w:rsidRPr="00D812C1">
        <w:rPr>
          <w:rFonts w:cs="FrankRuehl" w:hint="cs"/>
          <w:noProof/>
          <w:sz w:val="22"/>
          <w:szCs w:val="22"/>
          <w:rtl/>
        </w:rPr>
        <w:t xml:space="preserve">סעיף </w:t>
      </w:r>
      <w:r>
        <w:rPr>
          <w:rFonts w:cs="FrankRuehl" w:hint="cs"/>
          <w:noProof/>
          <w:sz w:val="22"/>
          <w:szCs w:val="22"/>
          <w:rtl/>
        </w:rPr>
        <w:t>1</w:t>
      </w:r>
    </w:p>
    <w:p w14:paraId="5ED0974E" w14:textId="77777777" w:rsidR="00AF0A70" w:rsidRPr="00D812C1" w:rsidRDefault="00AF0A70" w:rsidP="00AF0A7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הגדרות</w:t>
      </w:r>
    </w:p>
    <w:p w14:paraId="0349687A" w14:textId="77777777" w:rsidR="006903BD" w:rsidRDefault="00AF0A70" w:rsidP="007D4A67">
      <w:pPr>
        <w:pStyle w:val="P00"/>
        <w:spacing w:before="72"/>
        <w:ind w:left="624" w:right="1134" w:hanging="624"/>
        <w:rPr>
          <w:rStyle w:val="default"/>
          <w:rFonts w:cs="FrankRuehl" w:hint="cs"/>
          <w:rtl/>
        </w:rPr>
      </w:pPr>
      <w:r>
        <w:rPr>
          <w:rStyle w:val="default"/>
          <w:rFonts w:cs="FrankRuehl" w:hint="cs"/>
          <w:rtl/>
        </w:rPr>
        <w:t>(א)</w:t>
      </w:r>
      <w:r>
        <w:rPr>
          <w:rStyle w:val="default"/>
          <w:rFonts w:cs="FrankRuehl" w:hint="cs"/>
          <w:rtl/>
        </w:rPr>
        <w:tab/>
        <w:t>ה"אמנה" מתייחס לאמנה בדבר כינון הארגון האירופי למחקר גרעיני ולפרוטוקול הפיננסי המצורף אליה כנספח, אשר נחתמו ב-1 ביולי, 1953, נכנסו לתוקף ב-29 בספטמבר 1954 ותוקנו ב-17 בינואר 1971;</w:t>
      </w:r>
    </w:p>
    <w:p w14:paraId="3239BB55" w14:textId="77777777" w:rsidR="006903BD" w:rsidRDefault="00AF0A70" w:rsidP="007D4A67">
      <w:pPr>
        <w:pStyle w:val="P00"/>
        <w:spacing w:before="72"/>
        <w:ind w:left="624" w:right="1134" w:hanging="624"/>
        <w:rPr>
          <w:rStyle w:val="default"/>
          <w:rFonts w:cs="FrankRuehl" w:hint="cs"/>
          <w:rtl/>
        </w:rPr>
      </w:pPr>
      <w:r>
        <w:rPr>
          <w:rStyle w:val="default"/>
          <w:rFonts w:cs="FrankRuehl" w:hint="cs"/>
          <w:rtl/>
        </w:rPr>
        <w:t>(ב)</w:t>
      </w:r>
      <w:r>
        <w:rPr>
          <w:rStyle w:val="default"/>
          <w:rFonts w:cs="FrankRuehl" w:hint="cs"/>
          <w:rtl/>
        </w:rPr>
        <w:tab/>
        <w:t>ה"ארגון" מתייחס לארגון האירופי למחקר גרעיני;</w:t>
      </w:r>
    </w:p>
    <w:p w14:paraId="6BD46965" w14:textId="77777777" w:rsidR="006903BD" w:rsidRDefault="00AF0A70" w:rsidP="007D4A67">
      <w:pPr>
        <w:pStyle w:val="P00"/>
        <w:spacing w:before="72"/>
        <w:ind w:left="624" w:right="1134" w:hanging="624"/>
        <w:rPr>
          <w:rStyle w:val="default"/>
          <w:rFonts w:cs="FrankRuehl" w:hint="cs"/>
          <w:rtl/>
        </w:rPr>
      </w:pPr>
      <w:r>
        <w:rPr>
          <w:rStyle w:val="default"/>
          <w:rFonts w:cs="FrankRuehl" w:hint="cs"/>
          <w:rtl/>
        </w:rPr>
        <w:t>(ג)</w:t>
      </w:r>
      <w:r>
        <w:rPr>
          <w:rStyle w:val="default"/>
          <w:rFonts w:cs="FrankRuehl" w:hint="cs"/>
          <w:rtl/>
        </w:rPr>
        <w:tab/>
      </w:r>
      <w:r w:rsidR="007D4A67">
        <w:rPr>
          <w:rStyle w:val="default"/>
          <w:rFonts w:cs="FrankRuehl" w:hint="cs"/>
          <w:rtl/>
        </w:rPr>
        <w:t>"פעילויות רשמיות" מתייחס לפעילויות הארגון המפורטות באמנה, בעיקר נספח 2 שלה, כולל פעילויותיו שטיבן מינהלי;</w:t>
      </w:r>
    </w:p>
    <w:p w14:paraId="4EDC3D67"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(ד)</w:t>
      </w:r>
      <w:r>
        <w:rPr>
          <w:rStyle w:val="default"/>
          <w:rFonts w:cs="FrankRuehl" w:hint="cs"/>
          <w:rtl/>
        </w:rPr>
        <w:tab/>
        <w:t>"פקידים" מתייחס ל"אנשי הסגל" כמוגדר בכללים ובתקנות של הארגון ביחס לאנשי סגל.</w:t>
      </w:r>
    </w:p>
    <w:p w14:paraId="722C800B" w14:textId="77777777" w:rsidR="007D4A67" w:rsidRPr="00D812C1" w:rsidRDefault="007D4A67" w:rsidP="007D4A67">
      <w:pPr>
        <w:pStyle w:val="medium2-header"/>
        <w:keepLines w:val="0"/>
        <w:spacing w:before="72"/>
        <w:ind w:left="0" w:right="1134"/>
        <w:outlineLvl w:val="0"/>
        <w:rPr>
          <w:rFonts w:cs="FrankRuehl" w:hint="cs"/>
          <w:noProof/>
          <w:sz w:val="22"/>
          <w:szCs w:val="22"/>
          <w:rtl/>
        </w:rPr>
      </w:pPr>
      <w:bookmarkStart w:id="10" w:name="med8"/>
      <w:bookmarkEnd w:id="10"/>
      <w:r w:rsidRPr="00D812C1">
        <w:rPr>
          <w:rFonts w:cs="FrankRuehl" w:hint="cs"/>
          <w:noProof/>
          <w:sz w:val="22"/>
          <w:szCs w:val="22"/>
          <w:rtl/>
        </w:rPr>
        <w:t xml:space="preserve">סעיף </w:t>
      </w:r>
      <w:r>
        <w:rPr>
          <w:rFonts w:cs="FrankRuehl" w:hint="cs"/>
          <w:noProof/>
          <w:sz w:val="22"/>
          <w:szCs w:val="22"/>
          <w:rtl/>
        </w:rPr>
        <w:t>2</w:t>
      </w:r>
    </w:p>
    <w:p w14:paraId="303907DB" w14:textId="77777777" w:rsidR="007D4A67" w:rsidRPr="00D812C1" w:rsidRDefault="007D4A67" w:rsidP="007D4A6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אישיות משפטית בין-לאומית</w:t>
      </w:r>
    </w:p>
    <w:p w14:paraId="16EF18BB"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לארגון יהיו אישיות משפטית בין-לאומית ומעמד משפטי בשטח ישראל.</w:t>
      </w:r>
    </w:p>
    <w:p w14:paraId="6D946BF0"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לארגון תהיה בעיקר היכולת להתקשר בחוזים, לרכוש ולהוציא מרשותו מיטלטלין ומקרקעין ולהשתתף בהליכים משפטיים.</w:t>
      </w:r>
    </w:p>
    <w:p w14:paraId="71FDC441" w14:textId="77777777" w:rsidR="007D4A67" w:rsidRPr="00D812C1" w:rsidRDefault="007D4A67" w:rsidP="007D4A67">
      <w:pPr>
        <w:pStyle w:val="medium2-header"/>
        <w:keepLines w:val="0"/>
        <w:spacing w:before="72"/>
        <w:ind w:left="0" w:right="1134"/>
        <w:outlineLvl w:val="0"/>
        <w:rPr>
          <w:rFonts w:cs="FrankRuehl" w:hint="cs"/>
          <w:noProof/>
          <w:sz w:val="22"/>
          <w:szCs w:val="22"/>
          <w:rtl/>
        </w:rPr>
      </w:pPr>
      <w:bookmarkStart w:id="11" w:name="med9"/>
      <w:bookmarkEnd w:id="11"/>
      <w:r w:rsidRPr="00D812C1">
        <w:rPr>
          <w:rFonts w:cs="FrankRuehl" w:hint="cs"/>
          <w:noProof/>
          <w:sz w:val="22"/>
          <w:szCs w:val="22"/>
          <w:rtl/>
        </w:rPr>
        <w:t xml:space="preserve">סעיף </w:t>
      </w:r>
      <w:r>
        <w:rPr>
          <w:rFonts w:cs="FrankRuehl" w:hint="cs"/>
          <w:noProof/>
          <w:sz w:val="22"/>
          <w:szCs w:val="22"/>
          <w:rtl/>
        </w:rPr>
        <w:t>3</w:t>
      </w:r>
    </w:p>
    <w:p w14:paraId="2F5EEB60" w14:textId="77777777" w:rsidR="007D4A67" w:rsidRPr="00D812C1" w:rsidRDefault="007D4A67" w:rsidP="007D4A6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חסינות מפני פגיעה של ארכיונים ומסמכים</w:t>
      </w:r>
    </w:p>
    <w:p w14:paraId="67787BCB" w14:textId="77777777" w:rsidR="007D4A67" w:rsidRDefault="007D4A67" w:rsidP="007D4A67">
      <w:pPr>
        <w:pStyle w:val="P00"/>
        <w:spacing w:before="72"/>
        <w:ind w:left="0" w:right="1134"/>
        <w:rPr>
          <w:rStyle w:val="default"/>
          <w:rFonts w:cs="FrankRuehl" w:hint="cs"/>
          <w:rtl/>
        </w:rPr>
      </w:pPr>
      <w:r>
        <w:rPr>
          <w:rStyle w:val="default"/>
          <w:rFonts w:cs="FrankRuehl" w:hint="cs"/>
          <w:rtl/>
        </w:rPr>
        <w:t>ארכיוני הארגון וכל המסמכים בכל צורה המוחזקים בידי הארגון או השייכים לו, בכל מקום שבו הם נמצאים ובידי מי הם מוחזקים, חסינים מפני פגיעה.</w:t>
      </w:r>
    </w:p>
    <w:p w14:paraId="14320440" w14:textId="77777777" w:rsidR="007D4A67" w:rsidRPr="00D812C1" w:rsidRDefault="007D4A67" w:rsidP="007D4A67">
      <w:pPr>
        <w:pStyle w:val="medium2-header"/>
        <w:keepLines w:val="0"/>
        <w:spacing w:before="72"/>
        <w:ind w:left="0" w:right="1134"/>
        <w:outlineLvl w:val="0"/>
        <w:rPr>
          <w:rFonts w:cs="FrankRuehl" w:hint="cs"/>
          <w:noProof/>
          <w:sz w:val="22"/>
          <w:szCs w:val="22"/>
          <w:rtl/>
        </w:rPr>
      </w:pPr>
      <w:bookmarkStart w:id="12" w:name="med10"/>
      <w:bookmarkEnd w:id="12"/>
      <w:r w:rsidRPr="00D812C1">
        <w:rPr>
          <w:rFonts w:cs="FrankRuehl" w:hint="cs"/>
          <w:noProof/>
          <w:sz w:val="22"/>
          <w:szCs w:val="22"/>
          <w:rtl/>
        </w:rPr>
        <w:t xml:space="preserve">סעיף </w:t>
      </w:r>
      <w:r>
        <w:rPr>
          <w:rFonts w:cs="FrankRuehl" w:hint="cs"/>
          <w:noProof/>
          <w:sz w:val="22"/>
          <w:szCs w:val="22"/>
          <w:rtl/>
        </w:rPr>
        <w:t>4</w:t>
      </w:r>
    </w:p>
    <w:p w14:paraId="5DD9B522" w14:textId="77777777" w:rsidR="007D4A67" w:rsidRPr="00D812C1" w:rsidRDefault="007D4A67" w:rsidP="007D4A6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חסינות מהליך משפטי ומהוצאה לפועל</w:t>
      </w:r>
    </w:p>
    <w:p w14:paraId="0406C7CD"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בביצוע תפקידיו הרשמיים, ייהנה הארגון מחסינות מהליך משפטי, להוציא:</w:t>
      </w:r>
    </w:p>
    <w:p w14:paraId="132BACE9" w14:textId="77777777" w:rsidR="007D4A67" w:rsidRDefault="007D4A67" w:rsidP="007D4A67">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ככל שמועצת הארגון מוותרת על חסינות כאמור במקרה מסוים;</w:t>
      </w:r>
    </w:p>
    <w:p w14:paraId="0D952B48" w14:textId="77777777" w:rsidR="007D4A67" w:rsidRDefault="007D4A67" w:rsidP="007D4A67">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ביחס לתביעה של צד שלישי בגין נזק הנובע מתאונה שנגרמה על ידי כלי רכב ממונע השייך לארגון או מופעל מטעמו, או ביחס לעבירת תנועה שכלי רכב כאמור מעורב בה;</w:t>
      </w:r>
    </w:p>
    <w:p w14:paraId="2EAA2B52" w14:textId="77777777" w:rsidR="007D4A67" w:rsidRDefault="007D4A67" w:rsidP="007D4A67">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ביחס לאכיפת פסק בוררות שניתן לפי סעיף 13 או 14 להלן;</w:t>
      </w:r>
    </w:p>
    <w:p w14:paraId="514CAB2D" w14:textId="77777777" w:rsidR="007D4A67" w:rsidRDefault="007D4A67" w:rsidP="007D4A67">
      <w:pPr>
        <w:pStyle w:val="P00"/>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ביחס לתביעת נגד הקשורה במישרין והמשולבת במסגרת הנוהל של תביעה שהגיש הארגון.</w:t>
      </w:r>
    </w:p>
    <w:p w14:paraId="054FB4A5"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הרכוש והנכסים של הארגון, באשר הם נמצאים, ייהנו מחסינות מפני כל צורה של הפקעה, החרמה, חילוט, בידוד או כל צורה אחרת של תפיסה או התערבות בין אם בפעולה ביצועית, מינהלית, שיפוטית או חקיקתית, להוציא:</w:t>
      </w:r>
    </w:p>
    <w:p w14:paraId="5DD1C281" w14:textId="77777777" w:rsidR="007D4A67" w:rsidRDefault="007D4A67" w:rsidP="007D4A67">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ככל שמועצת הארגון מוותרת על חסינות כאמור במקרה מסוים;</w:t>
      </w:r>
    </w:p>
    <w:p w14:paraId="531FC147" w14:textId="77777777" w:rsidR="007D4A67" w:rsidRDefault="007D4A67" w:rsidP="007D4A67">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ככל שיהיה בכך צורך זמני בקשר למניעה או לחקירה של תאונות שמעורבים בהן כלי רכב ממונעים השייכים לארגון או מופעלים מטעמו;</w:t>
      </w:r>
    </w:p>
    <w:p w14:paraId="0446A8A6" w14:textId="77777777" w:rsidR="007D4A67" w:rsidRDefault="007D4A67" w:rsidP="007D4A67">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במקרה של עיקול משכורת, הנאכף בגלל חוב של פקיד הארגון, ובלבד שעיקול כאמור נובע מהחלטה סופית ובת אכיפה בהתאם לכללים ולתקנות שבתוקף בשטח האכיפה.</w:t>
      </w:r>
    </w:p>
    <w:p w14:paraId="25C09257" w14:textId="77777777" w:rsidR="007D4A67" w:rsidRPr="00D812C1" w:rsidRDefault="007D4A67" w:rsidP="007D4A67">
      <w:pPr>
        <w:pStyle w:val="medium2-header"/>
        <w:keepLines w:val="0"/>
        <w:spacing w:before="72"/>
        <w:ind w:left="0" w:right="1134"/>
        <w:outlineLvl w:val="0"/>
        <w:rPr>
          <w:rFonts w:cs="FrankRuehl" w:hint="cs"/>
          <w:noProof/>
          <w:sz w:val="22"/>
          <w:szCs w:val="22"/>
          <w:rtl/>
        </w:rPr>
      </w:pPr>
      <w:bookmarkStart w:id="13" w:name="med11"/>
      <w:bookmarkEnd w:id="13"/>
      <w:r w:rsidRPr="00D812C1">
        <w:rPr>
          <w:rFonts w:cs="FrankRuehl" w:hint="cs"/>
          <w:noProof/>
          <w:sz w:val="22"/>
          <w:szCs w:val="22"/>
          <w:rtl/>
        </w:rPr>
        <w:t xml:space="preserve">סעיף </w:t>
      </w:r>
      <w:r>
        <w:rPr>
          <w:rFonts w:cs="FrankRuehl" w:hint="cs"/>
          <w:noProof/>
          <w:sz w:val="22"/>
          <w:szCs w:val="22"/>
          <w:rtl/>
        </w:rPr>
        <w:t>5</w:t>
      </w:r>
    </w:p>
    <w:p w14:paraId="67BAE99F" w14:textId="77777777" w:rsidR="007D4A67" w:rsidRPr="00D812C1" w:rsidRDefault="007D4A67" w:rsidP="007D4A6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הסדרים פיסקליים והסדרי מכס</w:t>
      </w:r>
    </w:p>
    <w:p w14:paraId="08A166AF"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במסגרת פעילויותיו הרשמיות, הארגון, רכושו והכנסתו יהיו פטורים ממסים ישירים.</w:t>
      </w:r>
    </w:p>
    <w:p w14:paraId="32ED0CF5"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כאשר, בעת ביצוע פעילויותיו הרשמיות, הארגון מבצע רכישות בשטח ישראל, או משתמש, בטובין או בשירותים בעלי ערך מהותי, אשר במחיריהם כלולים מסים, מכסים או היטלים אחרים, ישראל תנקוט אמצעים מתאימים כדי להשיב או לשפות את סכום המסים, המכסים או ההיטלים האחרים האמורים, מקום שהם ניתנים לזיהוי.</w:t>
      </w:r>
    </w:p>
    <w:p w14:paraId="4B16F47C"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הייבוא לשטח ישראל והייצוא ממנו על ידי הארגון או מטעמו של טובין וחומרים בביצוע פעילויותיו הרשמיות יהיו פטורים מכל המסים, המכסים או ההיטלים האחרים על ייבוא וייצוא.</w:t>
      </w:r>
    </w:p>
    <w:p w14:paraId="4AAE1EF3"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לא יינתנו כל פטור או כל שיפוי על מסים, מכסים או היטלים אחרים מכל סוג המהווים רק גמול על שירותים שניתנו.</w:t>
      </w:r>
    </w:p>
    <w:p w14:paraId="14E62B51"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הוראות ס"ק 2 ו-3 לסעיף זה אינן בנות החלה על רכישה או שימוש בטובין או בשירותים או על ייבוא טובין המיועדים לשימוש האישי של הפקידים ושל המנהל הכללי של הארגון.</w:t>
      </w:r>
    </w:p>
    <w:p w14:paraId="5D189080"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טובין וחומרים השייכים לארגון אשר נרכשו או יובאו בהתאם להוראות ס"ק 2 או 3 לסעיף זה לא יימכרו או ייתרמו אלא לפי התנאים שקבעה ישראל.</w:t>
      </w:r>
    </w:p>
    <w:p w14:paraId="126C62AF" w14:textId="77777777" w:rsidR="007D4A67" w:rsidRPr="00D812C1" w:rsidRDefault="007D4A67" w:rsidP="007D4A67">
      <w:pPr>
        <w:pStyle w:val="medium2-header"/>
        <w:keepLines w:val="0"/>
        <w:spacing w:before="72"/>
        <w:ind w:left="0" w:right="1134"/>
        <w:outlineLvl w:val="0"/>
        <w:rPr>
          <w:rFonts w:cs="FrankRuehl" w:hint="cs"/>
          <w:noProof/>
          <w:sz w:val="22"/>
          <w:szCs w:val="22"/>
          <w:rtl/>
        </w:rPr>
      </w:pPr>
      <w:bookmarkStart w:id="14" w:name="med12"/>
      <w:bookmarkEnd w:id="14"/>
      <w:r w:rsidRPr="00D812C1">
        <w:rPr>
          <w:rFonts w:cs="FrankRuehl" w:hint="cs"/>
          <w:noProof/>
          <w:sz w:val="22"/>
          <w:szCs w:val="22"/>
          <w:rtl/>
        </w:rPr>
        <w:t xml:space="preserve">סעיף </w:t>
      </w:r>
      <w:r>
        <w:rPr>
          <w:rFonts w:cs="FrankRuehl" w:hint="cs"/>
          <w:noProof/>
          <w:sz w:val="22"/>
          <w:szCs w:val="22"/>
          <w:rtl/>
        </w:rPr>
        <w:t>6</w:t>
      </w:r>
    </w:p>
    <w:p w14:paraId="6312816E" w14:textId="77777777" w:rsidR="007D4A67" w:rsidRPr="00D812C1" w:rsidRDefault="007D4A67" w:rsidP="007D4A6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שדרים רשמיים</w:t>
      </w:r>
    </w:p>
    <w:p w14:paraId="57FC3918" w14:textId="77777777" w:rsidR="007D4A67" w:rsidRDefault="007D4A67" w:rsidP="007D4A67">
      <w:pPr>
        <w:pStyle w:val="P00"/>
        <w:spacing w:before="72"/>
        <w:ind w:left="0" w:right="1134"/>
        <w:rPr>
          <w:rStyle w:val="default"/>
          <w:rFonts w:cs="FrankRuehl" w:hint="cs"/>
          <w:rtl/>
        </w:rPr>
      </w:pPr>
      <w:r>
        <w:rPr>
          <w:rStyle w:val="default"/>
          <w:rFonts w:cs="FrankRuehl" w:hint="cs"/>
          <w:rtl/>
        </w:rPr>
        <w:t>הפצת הפרסומים וחומר המידע האחר, שהארגון קיבל או שלח בכל צורה בביצוע בפעילויותיו הרשמיות, לא תהיה מוגבלת בכל צורה.</w:t>
      </w:r>
    </w:p>
    <w:p w14:paraId="02272949" w14:textId="77777777" w:rsidR="007D4A67" w:rsidRPr="00D812C1" w:rsidRDefault="007D4A67" w:rsidP="007D4A67">
      <w:pPr>
        <w:pStyle w:val="medium2-header"/>
        <w:keepLines w:val="0"/>
        <w:spacing w:before="72"/>
        <w:ind w:left="0" w:right="1134"/>
        <w:outlineLvl w:val="0"/>
        <w:rPr>
          <w:rFonts w:cs="FrankRuehl" w:hint="cs"/>
          <w:noProof/>
          <w:sz w:val="22"/>
          <w:szCs w:val="22"/>
          <w:rtl/>
        </w:rPr>
      </w:pPr>
      <w:bookmarkStart w:id="15" w:name="med13"/>
      <w:bookmarkEnd w:id="15"/>
      <w:r w:rsidRPr="00D812C1">
        <w:rPr>
          <w:rFonts w:cs="FrankRuehl" w:hint="cs"/>
          <w:noProof/>
          <w:sz w:val="22"/>
          <w:szCs w:val="22"/>
          <w:rtl/>
        </w:rPr>
        <w:t xml:space="preserve">סעיף </w:t>
      </w:r>
      <w:r>
        <w:rPr>
          <w:rFonts w:cs="FrankRuehl" w:hint="cs"/>
          <w:noProof/>
          <w:sz w:val="22"/>
          <w:szCs w:val="22"/>
          <w:rtl/>
        </w:rPr>
        <w:t>7</w:t>
      </w:r>
    </w:p>
    <w:p w14:paraId="336787A6" w14:textId="77777777" w:rsidR="007D4A67" w:rsidRPr="00D812C1" w:rsidRDefault="007D4A67" w:rsidP="007D4A6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חסינויות וזכויות יתר של פקידי הארגון</w:t>
      </w:r>
    </w:p>
    <w:p w14:paraId="25CBB2A4"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פקידי הארגון ייהנו מחסינות, אפילו אחרי סיום תפקידיהם, מהליך משפטי ביחס למעשים, כולל מילים שנאמרו או נכתבו, שעשו במהלך ביצוע תפקידיהם ובמסגרת תחומי חובותיהם. ואולם חסינות זו לא תחול במקרה של עבירת תנועה שביצע פקיד הארגון וגם לא במקרה של נזק שגרם כלי רכב ממונע השייך לו או שהוא נוהג בו.</w:t>
      </w:r>
    </w:p>
    <w:p w14:paraId="12910510" w14:textId="77777777" w:rsidR="007D4A67" w:rsidRDefault="007D4A67" w:rsidP="007D4A67">
      <w:pPr>
        <w:pStyle w:val="P00"/>
        <w:spacing w:before="72"/>
        <w:ind w:left="624" w:right="1134"/>
        <w:rPr>
          <w:rStyle w:val="default"/>
          <w:rFonts w:cs="FrankRuehl" w:hint="cs"/>
          <w:rtl/>
        </w:rPr>
      </w:pPr>
      <w:r>
        <w:rPr>
          <w:rStyle w:val="default"/>
          <w:rFonts w:cs="FrankRuehl" w:hint="cs"/>
          <w:rtl/>
        </w:rPr>
        <w:t>למטרות מעמד של חברות נלווית כשלב המוקדם לחברות, ישראל לא תהיה מחויבת להעניק את החסינות הנ"ל לאזרחיה או לבני אדם אשר, בעת תחילת מילוי תפקידיהם בישראל, הם תושבי קבע של ישראל, מתוך הבנה שלמטרות ההצטרפות לחברות, ישראל תידרש לנקוט את הצעדים הדרושים כדי להבטיח את החלת החסינות הנ"ל על כל הפקידים.</w:t>
      </w:r>
    </w:p>
    <w:p w14:paraId="607BF53A" w14:textId="77777777" w:rsidR="007D4A67" w:rsidRDefault="007D4A67" w:rsidP="007D4A6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פקידי הארגון ייהנו מזכויות היתר האלה:</w:t>
      </w:r>
    </w:p>
    <w:p w14:paraId="0E7B97AD" w14:textId="77777777" w:rsidR="007D4A67" w:rsidRDefault="007D4A67" w:rsidP="003A5FFE">
      <w:pPr>
        <w:pStyle w:val="P00"/>
        <w:spacing w:before="72"/>
        <w:ind w:left="1475" w:right="1134" w:hanging="851"/>
        <w:rPr>
          <w:rStyle w:val="default"/>
          <w:rFonts w:cs="FrankRuehl" w:hint="cs"/>
          <w:rtl/>
        </w:rPr>
      </w:pPr>
      <w:r>
        <w:rPr>
          <w:rStyle w:val="default"/>
          <w:rFonts w:cs="FrankRuehl" w:hint="cs"/>
          <w:rtl/>
        </w:rPr>
        <w:t>(א)</w:t>
      </w:r>
      <w:r>
        <w:rPr>
          <w:rStyle w:val="default"/>
          <w:rFonts w:cs="FrankRuehl" w:hint="cs"/>
          <w:rtl/>
        </w:rPr>
        <w:tab/>
        <w:t>(1)</w:t>
      </w:r>
      <w:r>
        <w:rPr>
          <w:rStyle w:val="default"/>
          <w:rFonts w:cs="FrankRuehl" w:hint="cs"/>
          <w:rtl/>
        </w:rPr>
        <w:tab/>
        <w:t>בכפוף לתנאים ובהתאם לנהלים שקבעה מועצת הארגון, הפקידים והמנהל הכללי של הארגון יהיו כפופים למס, לטובת הארגון, על משכורות ותגמולים ששילם הארגון. משכורות ותגמולים כאמור יהיו פטורים ממס הכנסה לאומי;</w:t>
      </w:r>
    </w:p>
    <w:p w14:paraId="36768703" w14:textId="77777777" w:rsidR="007D4A67" w:rsidRDefault="007D4A67" w:rsidP="003A5FFE">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ישראל לא תהיה מחויבת לפטור ממס הכנסה קבצאות או אנונות ששילם הארגון לפקידיו לשעבר ולמנהל הכללי לשעבר ביחס לשירותם לארגון;</w:t>
      </w:r>
    </w:p>
    <w:p w14:paraId="7C265CA5" w14:textId="77777777" w:rsidR="007D4A67" w:rsidRDefault="007D4A67" w:rsidP="003A5FFE">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לעצמם ולבני משפחותיהם המהווים חלק ממשק ביתם, פטור מהגבלות הגירה ומנוהלי רישום תושבי חוץ הזהה לזה המוענק כרגיל לפקידי ארגונים בן-לאומיים;</w:t>
      </w:r>
    </w:p>
    <w:p w14:paraId="66BD2EFC" w14:textId="77777777" w:rsidR="007D4A67" w:rsidRDefault="007D4A67" w:rsidP="003A5FFE">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לעצמם ולבני משפחותיהם המהווים חלק ממשק ביתם, שירותי החזרה למולדת בתקופת משבר בין-לאומי כמו לחברי משלחות דיפלומטיות;</w:t>
      </w:r>
    </w:p>
    <w:p w14:paraId="02C05BEF" w14:textId="77777777" w:rsidR="007D4A67" w:rsidRDefault="003A5FFE" w:rsidP="003A5FFE">
      <w:pPr>
        <w:pStyle w:val="P00"/>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ביחס להעברות כספים ולהמרות מטבע ושירותי מכס, זכויות היתר המוענקות בדרך כלל לפקידי ארגונים בין-לאומיים;</w:t>
      </w:r>
    </w:p>
    <w:p w14:paraId="28937FE5" w14:textId="77777777" w:rsidR="003A5FFE" w:rsidRDefault="003A5FFE" w:rsidP="007D4A6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ישראל לא תהיה מחויבת להעניק את זכויות היתר והחסינויות הנזכרות בס"ק 2(ב), (ג) ו-(ד) לאזרחיה או לבני אדם אשר, בעת תחילת מילוי תפקידיהם בישראל, הם תושבי קבע של ישראל.</w:t>
      </w:r>
    </w:p>
    <w:p w14:paraId="3D9E4425" w14:textId="77777777" w:rsidR="003A5FFE" w:rsidRPr="00D812C1" w:rsidRDefault="003A5FFE" w:rsidP="003A5FFE">
      <w:pPr>
        <w:pStyle w:val="medium2-header"/>
        <w:keepLines w:val="0"/>
        <w:spacing w:before="72"/>
        <w:ind w:left="0" w:right="1134"/>
        <w:outlineLvl w:val="0"/>
        <w:rPr>
          <w:rFonts w:cs="FrankRuehl" w:hint="cs"/>
          <w:noProof/>
          <w:sz w:val="22"/>
          <w:szCs w:val="22"/>
          <w:rtl/>
        </w:rPr>
      </w:pPr>
      <w:bookmarkStart w:id="16" w:name="med14"/>
      <w:bookmarkEnd w:id="16"/>
      <w:r w:rsidRPr="00D812C1">
        <w:rPr>
          <w:rFonts w:cs="FrankRuehl" w:hint="cs"/>
          <w:noProof/>
          <w:sz w:val="22"/>
          <w:szCs w:val="22"/>
          <w:rtl/>
        </w:rPr>
        <w:t xml:space="preserve">סעיף </w:t>
      </w:r>
      <w:r>
        <w:rPr>
          <w:rFonts w:cs="FrankRuehl" w:hint="cs"/>
          <w:noProof/>
          <w:sz w:val="22"/>
          <w:szCs w:val="22"/>
          <w:rtl/>
        </w:rPr>
        <w:t>8</w:t>
      </w:r>
    </w:p>
    <w:p w14:paraId="7BA902A6" w14:textId="77777777" w:rsidR="003A5FFE" w:rsidRPr="00D812C1" w:rsidRDefault="003A5FFE" w:rsidP="003A5FF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ביטוח סוציאלי</w:t>
      </w:r>
    </w:p>
    <w:p w14:paraId="1DD797E3" w14:textId="77777777" w:rsidR="003A5FFE" w:rsidRDefault="003A5FFE" w:rsidP="003A5FFE">
      <w:pPr>
        <w:pStyle w:val="P00"/>
        <w:spacing w:before="72"/>
        <w:ind w:left="0" w:right="1134"/>
        <w:rPr>
          <w:rStyle w:val="default"/>
          <w:rFonts w:cs="FrankRuehl" w:hint="cs"/>
          <w:rtl/>
        </w:rPr>
      </w:pPr>
      <w:r>
        <w:rPr>
          <w:rStyle w:val="default"/>
          <w:rFonts w:cs="FrankRuehl" w:hint="cs"/>
          <w:rtl/>
        </w:rPr>
        <w:t>הארגון והפקידים שמעסיק הארגון יהיו פטורים מכל תרומת חובה לתכניות ביטוח סוציאלי לאומיות, מתוך הבנה שבני אדם כאמור מקבלים מהארגון כיסוי מקביל של הגנה סוציאלית.</w:t>
      </w:r>
    </w:p>
    <w:p w14:paraId="72EAA36C" w14:textId="77777777" w:rsidR="003A5FFE" w:rsidRPr="00D812C1" w:rsidRDefault="003A5FFE" w:rsidP="003A5FFE">
      <w:pPr>
        <w:pStyle w:val="medium2-header"/>
        <w:keepLines w:val="0"/>
        <w:spacing w:before="72"/>
        <w:ind w:left="0" w:right="1134"/>
        <w:outlineLvl w:val="0"/>
        <w:rPr>
          <w:rFonts w:cs="FrankRuehl" w:hint="cs"/>
          <w:noProof/>
          <w:sz w:val="22"/>
          <w:szCs w:val="22"/>
          <w:rtl/>
        </w:rPr>
      </w:pPr>
      <w:bookmarkStart w:id="17" w:name="med15"/>
      <w:bookmarkEnd w:id="17"/>
      <w:r w:rsidRPr="00D812C1">
        <w:rPr>
          <w:rFonts w:cs="FrankRuehl" w:hint="cs"/>
          <w:noProof/>
          <w:sz w:val="22"/>
          <w:szCs w:val="22"/>
          <w:rtl/>
        </w:rPr>
        <w:t xml:space="preserve">סעיף </w:t>
      </w:r>
      <w:r>
        <w:rPr>
          <w:rFonts w:cs="FrankRuehl" w:hint="cs"/>
          <w:noProof/>
          <w:sz w:val="22"/>
          <w:szCs w:val="22"/>
          <w:rtl/>
        </w:rPr>
        <w:t>9</w:t>
      </w:r>
    </w:p>
    <w:p w14:paraId="2E8C5CC6" w14:textId="77777777" w:rsidR="003A5FFE" w:rsidRPr="00D812C1" w:rsidRDefault="003A5FFE" w:rsidP="003A5FF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זכויות יתר וחסינויות של המזכיר הכללי</w:t>
      </w:r>
    </w:p>
    <w:p w14:paraId="59CFD931" w14:textId="77777777" w:rsidR="003A5FFE" w:rsidRDefault="003A5FFE" w:rsidP="003A5FFE">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נוסף על זכויות היתר </w:t>
      </w:r>
      <w:r w:rsidR="00E426EA">
        <w:rPr>
          <w:rStyle w:val="default"/>
          <w:rFonts w:cs="FrankRuehl" w:hint="cs"/>
          <w:rtl/>
        </w:rPr>
        <w:t>והחסינויות שלפי הוראות סעיפים 7 ו-8 לעיל, המנהל הכללי ייהנה לאורך כל תקופת מילוי תפקידיו מזכויות היתר והחסינויות המוענקות לפי אמנת וינה בדבר יחסים דיפלומטיים מ-18 באפריל 1961 לנציגים דיפלומטיים בדרגה מקבילה.</w:t>
      </w:r>
    </w:p>
    <w:p w14:paraId="15CC0EA9" w14:textId="77777777" w:rsidR="00E426EA" w:rsidRDefault="00E426EA" w:rsidP="00E426EA">
      <w:pPr>
        <w:pStyle w:val="P00"/>
        <w:spacing w:before="72"/>
        <w:ind w:left="624" w:right="1134"/>
        <w:rPr>
          <w:rStyle w:val="default"/>
          <w:rFonts w:cs="FrankRuehl" w:hint="cs"/>
          <w:rtl/>
        </w:rPr>
      </w:pPr>
      <w:r>
        <w:rPr>
          <w:rStyle w:val="default"/>
          <w:rFonts w:cs="FrankRuehl" w:hint="cs"/>
          <w:rtl/>
        </w:rPr>
        <w:t>ישראל לא תהיה מחויבת להעניק את זכויות היתר והחסינויות הנזכרות בסעיף זה לאזרחיה או לבני אדם אשר, בעת תחילת מילוי תפקידיהם בשטח ישראל, הם תושבי קבע של ישראל.</w:t>
      </w:r>
    </w:p>
    <w:p w14:paraId="505B2569" w14:textId="77777777" w:rsidR="00E426EA" w:rsidRPr="00D812C1" w:rsidRDefault="00E426EA" w:rsidP="00E426EA">
      <w:pPr>
        <w:pStyle w:val="medium2-header"/>
        <w:keepLines w:val="0"/>
        <w:spacing w:before="72"/>
        <w:ind w:left="0" w:right="1134"/>
        <w:outlineLvl w:val="0"/>
        <w:rPr>
          <w:rFonts w:cs="FrankRuehl" w:hint="cs"/>
          <w:noProof/>
          <w:sz w:val="22"/>
          <w:szCs w:val="22"/>
          <w:rtl/>
        </w:rPr>
      </w:pPr>
      <w:bookmarkStart w:id="18" w:name="med16"/>
      <w:bookmarkEnd w:id="18"/>
      <w:r w:rsidRPr="00D812C1">
        <w:rPr>
          <w:rFonts w:cs="FrankRuehl" w:hint="cs"/>
          <w:noProof/>
          <w:sz w:val="22"/>
          <w:szCs w:val="22"/>
          <w:rtl/>
        </w:rPr>
        <w:t xml:space="preserve">סעיף </w:t>
      </w:r>
      <w:r>
        <w:rPr>
          <w:rFonts w:cs="FrankRuehl" w:hint="cs"/>
          <w:noProof/>
          <w:sz w:val="22"/>
          <w:szCs w:val="22"/>
          <w:rtl/>
        </w:rPr>
        <w:t>10</w:t>
      </w:r>
    </w:p>
    <w:p w14:paraId="53B719F1" w14:textId="77777777" w:rsidR="00E426EA" w:rsidRPr="00D812C1" w:rsidRDefault="00E426EA" w:rsidP="00E426E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היעד והמגבלות של החסינויות</w:t>
      </w:r>
    </w:p>
    <w:p w14:paraId="326B0280" w14:textId="77777777" w:rsidR="00E426EA" w:rsidRDefault="00E426EA" w:rsidP="00E426E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זכויות היתר והחסינויות לפי הוראות 7 ו-9 לעיל מוענקות אך ורק כדי להבטיח תפקוד בלא הפרעה של הארגון ועצמאות מלאה של בני האדם שהן מוענקות להן. הן לא מוענקות לתועלתם האישית של בני האדם הנוגעים בדבר.</w:t>
      </w:r>
    </w:p>
    <w:p w14:paraId="4E4BBB12" w14:textId="77777777" w:rsidR="00E426EA" w:rsidRDefault="00E426EA" w:rsidP="00E426EA">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חסינויות אלה ניתנו לוויתור:</w:t>
      </w:r>
    </w:p>
    <w:p w14:paraId="4A5481D2" w14:textId="77777777" w:rsidR="00E426EA" w:rsidRDefault="00E426EA" w:rsidP="00E426EA">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במקרה של המנהל הכללי, על ידי מועצת הארגון;</w:t>
      </w:r>
    </w:p>
    <w:p w14:paraId="27053ECA" w14:textId="77777777" w:rsidR="00E426EA" w:rsidRDefault="00E426EA" w:rsidP="00E426EA">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במקרה של פקידים, על ידי המנהל הכללי או האדם הפועל במקומו לפי הוראות סעיף 6, ס"ק 1ב), לאמנה;</w:t>
      </w:r>
    </w:p>
    <w:p w14:paraId="0F469BA2" w14:textId="77777777" w:rsidR="00E426EA" w:rsidRDefault="00E426EA" w:rsidP="00E426EA">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במקרה של נציגי מדינה, על ידי המדינה הנוגעת בדבר;</w:t>
      </w:r>
    </w:p>
    <w:p w14:paraId="22CD5DEF" w14:textId="77777777" w:rsidR="00E426EA" w:rsidRDefault="00E426EA" w:rsidP="00E426EA">
      <w:pPr>
        <w:pStyle w:val="P00"/>
        <w:spacing w:before="72"/>
        <w:ind w:left="1021" w:right="1134"/>
        <w:rPr>
          <w:rStyle w:val="default"/>
          <w:rFonts w:cs="FrankRuehl" w:hint="cs"/>
          <w:rtl/>
        </w:rPr>
      </w:pPr>
      <w:r>
        <w:rPr>
          <w:rStyle w:val="default"/>
          <w:rFonts w:cs="FrankRuehl" w:hint="cs"/>
          <w:rtl/>
        </w:rPr>
        <w:t>כמו כן קיימת חובה לעשות כן בכל מקרה מסוים שבו הן ישבשו הליכי משפט וניתן לוותר עליהן בלי לפגוע במטרה שלשמה הוענקו.</w:t>
      </w:r>
    </w:p>
    <w:p w14:paraId="3B9969A0" w14:textId="77777777" w:rsidR="00E426EA" w:rsidRPr="00D812C1" w:rsidRDefault="00E426EA" w:rsidP="00E426EA">
      <w:pPr>
        <w:pStyle w:val="medium2-header"/>
        <w:keepLines w:val="0"/>
        <w:spacing w:before="72"/>
        <w:ind w:left="0" w:right="1134"/>
        <w:outlineLvl w:val="0"/>
        <w:rPr>
          <w:rFonts w:cs="FrankRuehl" w:hint="cs"/>
          <w:noProof/>
          <w:sz w:val="22"/>
          <w:szCs w:val="22"/>
          <w:rtl/>
        </w:rPr>
      </w:pPr>
      <w:bookmarkStart w:id="19" w:name="med17"/>
      <w:bookmarkEnd w:id="19"/>
      <w:r w:rsidRPr="00D812C1">
        <w:rPr>
          <w:rFonts w:cs="FrankRuehl" w:hint="cs"/>
          <w:noProof/>
          <w:sz w:val="22"/>
          <w:szCs w:val="22"/>
          <w:rtl/>
        </w:rPr>
        <w:t xml:space="preserve">סעיף </w:t>
      </w:r>
      <w:r>
        <w:rPr>
          <w:rFonts w:cs="FrankRuehl" w:hint="cs"/>
          <w:noProof/>
          <w:sz w:val="22"/>
          <w:szCs w:val="22"/>
          <w:rtl/>
        </w:rPr>
        <w:t>11</w:t>
      </w:r>
    </w:p>
    <w:p w14:paraId="0775E3C3" w14:textId="77777777" w:rsidR="00E426EA" w:rsidRPr="00D812C1" w:rsidRDefault="00E426EA" w:rsidP="00E426E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שיתוף פעולה עם ישראל</w:t>
      </w:r>
    </w:p>
    <w:p w14:paraId="50AF7200" w14:textId="77777777" w:rsidR="00E426EA" w:rsidRDefault="00E426EA" w:rsidP="00E426EA">
      <w:pPr>
        <w:pStyle w:val="P00"/>
        <w:spacing w:before="72"/>
        <w:ind w:left="0" w:right="1134"/>
        <w:rPr>
          <w:rStyle w:val="default"/>
          <w:rFonts w:cs="FrankRuehl" w:hint="cs"/>
          <w:rtl/>
        </w:rPr>
      </w:pPr>
      <w:r>
        <w:rPr>
          <w:rStyle w:val="default"/>
          <w:rFonts w:cs="FrankRuehl" w:hint="cs"/>
          <w:rtl/>
        </w:rPr>
        <w:t>הארגון ישתף פעולה עם הרשויות המוסמכות של ישראל כדי לקדם עשייה נאותה של צדק, ציות לחוקים ולתקנות בדבר משטרה, בריאות הציבור, בריאות ובטיחות בעבודה ובסביבה, וכדי למנוע כל ניצול לרעה של זכויות היתר, החסינויות וההקלות שהוענקו.</w:t>
      </w:r>
    </w:p>
    <w:p w14:paraId="75B552BF" w14:textId="77777777" w:rsidR="00E426EA" w:rsidRPr="00D812C1" w:rsidRDefault="00E426EA" w:rsidP="00E426EA">
      <w:pPr>
        <w:pStyle w:val="medium2-header"/>
        <w:keepLines w:val="0"/>
        <w:spacing w:before="72"/>
        <w:ind w:left="0" w:right="1134"/>
        <w:outlineLvl w:val="0"/>
        <w:rPr>
          <w:rFonts w:cs="FrankRuehl" w:hint="cs"/>
          <w:noProof/>
          <w:sz w:val="22"/>
          <w:szCs w:val="22"/>
          <w:rtl/>
        </w:rPr>
      </w:pPr>
      <w:bookmarkStart w:id="20" w:name="med18"/>
      <w:bookmarkEnd w:id="20"/>
      <w:r w:rsidRPr="00D812C1">
        <w:rPr>
          <w:rFonts w:cs="FrankRuehl" w:hint="cs"/>
          <w:noProof/>
          <w:sz w:val="22"/>
          <w:szCs w:val="22"/>
          <w:rtl/>
        </w:rPr>
        <w:t xml:space="preserve">סעיף </w:t>
      </w:r>
      <w:r>
        <w:rPr>
          <w:rFonts w:cs="FrankRuehl" w:hint="cs"/>
          <w:noProof/>
          <w:sz w:val="22"/>
          <w:szCs w:val="22"/>
          <w:rtl/>
        </w:rPr>
        <w:t>12</w:t>
      </w:r>
    </w:p>
    <w:p w14:paraId="4834670B" w14:textId="77777777" w:rsidR="00E426EA" w:rsidRPr="00D812C1" w:rsidRDefault="00E426EA" w:rsidP="00E426E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ביטחון וסדר ציבורי</w:t>
      </w:r>
    </w:p>
    <w:p w14:paraId="1D61DC00" w14:textId="77777777" w:rsidR="00E426EA" w:rsidRDefault="00EE0583" w:rsidP="00E426E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זכותה של ישראל לנקוט אמצעי זהירות לטובת ביטחונה לא תיפגע על ידי הוראה מהוראות אלה.</w:t>
      </w:r>
    </w:p>
    <w:p w14:paraId="4E41BF05" w14:textId="77777777" w:rsidR="00EE0583" w:rsidRDefault="00EE0583" w:rsidP="00E426EA">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אם ישראל מוצאת לנחוץ לנקוט אמצעים למען ביטחונה או לקיום הסדר הציבורי היא, להוציא מקום שהדבר אינו מעשי, תפנה לארגון מהר ככל שהנסיבות מאפשרות כדי לקבוע, בהסכמה הדדית, את האמצעים הדרושים להגנה על האינטרסים של הארגון.</w:t>
      </w:r>
    </w:p>
    <w:p w14:paraId="4B4A068C" w14:textId="77777777" w:rsidR="00EE0583" w:rsidRDefault="00EE0583" w:rsidP="00E426EA">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הארגון ישתף פעולה עם ישראל כדי למנוע כל פגיעה בביטחונה או בסדר הציבורי כתוצאה מפעילויותיו.</w:t>
      </w:r>
    </w:p>
    <w:p w14:paraId="71E9F9A1" w14:textId="77777777" w:rsidR="00EE0583" w:rsidRPr="00D812C1" w:rsidRDefault="00EE0583" w:rsidP="00EE0583">
      <w:pPr>
        <w:pStyle w:val="medium2-header"/>
        <w:keepLines w:val="0"/>
        <w:spacing w:before="72"/>
        <w:ind w:left="0" w:right="1134"/>
        <w:outlineLvl w:val="0"/>
        <w:rPr>
          <w:rFonts w:cs="FrankRuehl" w:hint="cs"/>
          <w:noProof/>
          <w:sz w:val="22"/>
          <w:szCs w:val="22"/>
          <w:rtl/>
        </w:rPr>
      </w:pPr>
      <w:bookmarkStart w:id="21" w:name="med19"/>
      <w:bookmarkEnd w:id="21"/>
      <w:r w:rsidRPr="00D812C1">
        <w:rPr>
          <w:rFonts w:cs="FrankRuehl" w:hint="cs"/>
          <w:noProof/>
          <w:sz w:val="22"/>
          <w:szCs w:val="22"/>
          <w:rtl/>
        </w:rPr>
        <w:t xml:space="preserve">סעיף </w:t>
      </w:r>
      <w:r>
        <w:rPr>
          <w:rFonts w:cs="FrankRuehl" w:hint="cs"/>
          <w:noProof/>
          <w:sz w:val="22"/>
          <w:szCs w:val="22"/>
          <w:rtl/>
        </w:rPr>
        <w:t>13</w:t>
      </w:r>
    </w:p>
    <w:p w14:paraId="381A8E59" w14:textId="77777777" w:rsidR="00EE0583" w:rsidRPr="00D812C1" w:rsidRDefault="00EE0583" w:rsidP="00EE058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מחלוקות שטיבן פרטי</w:t>
      </w:r>
    </w:p>
    <w:p w14:paraId="6DD3C5B8" w14:textId="77777777" w:rsidR="00EE0583" w:rsidRDefault="00EE0583" w:rsidP="00E426E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הארגון יקבע הוראות בדבר צורות יישוב נאותות של:</w:t>
      </w:r>
    </w:p>
    <w:p w14:paraId="7055186E" w14:textId="77777777" w:rsidR="00EE0583" w:rsidRDefault="00EE0583" w:rsidP="00EE0583">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מחלוקות הנובעות מחוזים שהארגון הוא צד להם;</w:t>
      </w:r>
    </w:p>
    <w:p w14:paraId="0B972615" w14:textId="77777777" w:rsidR="00EE0583" w:rsidRDefault="00EE0583" w:rsidP="00EE0583">
      <w:pPr>
        <w:pStyle w:val="P00"/>
        <w:spacing w:before="72"/>
        <w:ind w:left="1021" w:right="1134"/>
        <w:rPr>
          <w:rStyle w:val="default"/>
          <w:rFonts w:cs="FrankRuehl" w:hint="cs"/>
          <w:rtl/>
        </w:rPr>
      </w:pPr>
      <w:r>
        <w:rPr>
          <w:rStyle w:val="default"/>
          <w:rFonts w:cs="FrankRuehl" w:hint="cs"/>
          <w:rtl/>
        </w:rPr>
        <w:t>הארגון יכלול, בכל חוזה בכתב שהוא מתקשר בו, להוציא אלה הנזכרים בס"ק 1(ד) לסעיף זה, סעיף בוררות שלפיו כל מחלוקת הנובעת מפרשנותו או מהוצאתו לפועל של החוזה, לבקשת צד, תובא לבוררות, או, אם הצדדים הסכימו על כך, לצורת יישוב נאותה אחרת;</w:t>
      </w:r>
    </w:p>
    <w:p w14:paraId="409C9951" w14:textId="77777777" w:rsidR="00EE0583" w:rsidRDefault="00EE0583" w:rsidP="005152AC">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r>
      <w:r w:rsidR="005152AC">
        <w:rPr>
          <w:rStyle w:val="default"/>
          <w:rFonts w:cs="FrankRuehl" w:hint="cs"/>
          <w:rtl/>
        </w:rPr>
        <w:t>מחלוקות הנובעות מנזקים שגרם הארגון או הכרוכות בכל התחייבות לא-חוזית אחרת של הארגון;</w:t>
      </w:r>
    </w:p>
    <w:p w14:paraId="52B2A047" w14:textId="77777777" w:rsidR="005152AC" w:rsidRDefault="005152AC" w:rsidP="005152AC">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מחלוקות שמעורב בהן פקיד הארגון הנהנה מחסינות מהליך משפטי, אם לא היה ויתור על חסינות כאמור בהתאם להוראות סעיף 4 לעיל;</w:t>
      </w:r>
    </w:p>
    <w:p w14:paraId="29BB9431" w14:textId="77777777" w:rsidR="005152AC" w:rsidRDefault="005152AC" w:rsidP="005152AC">
      <w:pPr>
        <w:pStyle w:val="P00"/>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מחלוקות המתעוררות בין הארגון לבין פקידיו;</w:t>
      </w:r>
    </w:p>
    <w:p w14:paraId="1C30F1D2" w14:textId="77777777" w:rsidR="005152AC" w:rsidRDefault="005152AC" w:rsidP="005152AC">
      <w:pPr>
        <w:pStyle w:val="P00"/>
        <w:spacing w:before="72"/>
        <w:ind w:left="1021" w:right="1134"/>
        <w:rPr>
          <w:rStyle w:val="default"/>
          <w:rFonts w:cs="FrankRuehl" w:hint="cs"/>
          <w:sz w:val="20"/>
          <w:rtl/>
        </w:rPr>
      </w:pPr>
      <w:r w:rsidRPr="005152AC">
        <w:rPr>
          <w:rStyle w:val="default"/>
          <w:rFonts w:cs="FrankRuehl" w:hint="cs"/>
          <w:sz w:val="20"/>
          <w:rtl/>
        </w:rPr>
        <w:t>הארגון יביא את כל המחלוקות הנובעות מהחלתם ומפרשנותם של חוזים שנעשו עם פקידי הארגון על בסיס הכללים והתקנות של הארגון ביחס לאנשי סגל לפני סמכות השיפוט של בית הדין המינהלי של ארגון העבודה הבין-לאומי (</w:t>
      </w:r>
      <w:r w:rsidRPr="005152AC">
        <w:rPr>
          <w:rStyle w:val="default"/>
          <w:rFonts w:cs="FrankRuehl"/>
          <w:sz w:val="20"/>
        </w:rPr>
        <w:t>ILOAT</w:t>
      </w:r>
      <w:r w:rsidRPr="005152AC">
        <w:rPr>
          <w:rStyle w:val="default"/>
          <w:rFonts w:cs="FrankRuehl" w:hint="cs"/>
          <w:sz w:val="20"/>
          <w:rtl/>
        </w:rPr>
        <w:t>), או כל בית דין מינהלי בין-לאומי אחר שהארגון הוכפף לסמכות השיפוט שלו בעקבות החלטה של המועצה.</w:t>
      </w:r>
    </w:p>
    <w:p w14:paraId="1CB9CCD9" w14:textId="77777777" w:rsidR="005152AC" w:rsidRDefault="005152AC" w:rsidP="005152A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במחלוקות שלגביהן לא פורטה כל צורת יישוב מסוימת בס"ק 1 לסעיף זה, הארגון רשאי לפנות לכל צורת יישוב הנראית לו מתאימה, בעיקר לבוררות או להפנייה לבית דין לאומי.</w:t>
      </w:r>
    </w:p>
    <w:p w14:paraId="1EF46638" w14:textId="77777777" w:rsidR="005152AC" w:rsidRDefault="005152AC" w:rsidP="005152AC">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כל צורת יישוב שנבחרה לפי סעיף זה תהיה מבוססת על עקרון ההליך המשפטי הנאות, לקראת יישוב מהיר, הוגן, חסר פניות ומחייב למחלוקת.</w:t>
      </w:r>
    </w:p>
    <w:p w14:paraId="21022D77" w14:textId="77777777" w:rsidR="005152AC" w:rsidRPr="00D812C1" w:rsidRDefault="005152AC" w:rsidP="005152AC">
      <w:pPr>
        <w:pStyle w:val="medium2-header"/>
        <w:keepLines w:val="0"/>
        <w:spacing w:before="72"/>
        <w:ind w:left="0" w:right="1134"/>
        <w:outlineLvl w:val="0"/>
        <w:rPr>
          <w:rFonts w:cs="FrankRuehl" w:hint="cs"/>
          <w:noProof/>
          <w:sz w:val="22"/>
          <w:szCs w:val="22"/>
          <w:rtl/>
        </w:rPr>
      </w:pPr>
      <w:bookmarkStart w:id="22" w:name="med20"/>
      <w:bookmarkEnd w:id="22"/>
      <w:r w:rsidRPr="00D812C1">
        <w:rPr>
          <w:rFonts w:cs="FrankRuehl" w:hint="cs"/>
          <w:noProof/>
          <w:sz w:val="22"/>
          <w:szCs w:val="22"/>
          <w:rtl/>
        </w:rPr>
        <w:t xml:space="preserve">סעיף </w:t>
      </w:r>
      <w:r>
        <w:rPr>
          <w:rFonts w:cs="FrankRuehl" w:hint="cs"/>
          <w:noProof/>
          <w:sz w:val="22"/>
          <w:szCs w:val="22"/>
          <w:rtl/>
        </w:rPr>
        <w:t>14</w:t>
      </w:r>
    </w:p>
    <w:p w14:paraId="6B96EDC4" w14:textId="77777777" w:rsidR="005152AC" w:rsidRPr="00D812C1" w:rsidRDefault="005152AC" w:rsidP="005152A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מחלוקת בין ישראל לבין הארגון</w:t>
      </w:r>
    </w:p>
    <w:p w14:paraId="182C799B" w14:textId="77777777" w:rsidR="005152AC" w:rsidRDefault="005152AC" w:rsidP="005152AC">
      <w:pPr>
        <w:pStyle w:val="P00"/>
        <w:spacing w:before="72"/>
        <w:ind w:left="0" w:right="1134"/>
        <w:rPr>
          <w:rStyle w:val="default"/>
          <w:rFonts w:cs="FrankRuehl" w:hint="cs"/>
          <w:rtl/>
        </w:rPr>
      </w:pPr>
      <w:r>
        <w:rPr>
          <w:rStyle w:val="default"/>
          <w:rFonts w:cs="FrankRuehl" w:hint="cs"/>
          <w:rtl/>
        </w:rPr>
        <w:t>כל חילוקי דעות בין ישראל לבין הארגון בנוגע להחלתן או לפרשנותן של הוראות אלה אשר לא יושבה בדרכי נועם ביניהם, כל צד רשאי להביא לפני בית דין בין-לאומי לבוררות, בהתאם לסעיף 15 להלן.</w:t>
      </w:r>
    </w:p>
    <w:p w14:paraId="7D41FD75" w14:textId="77777777" w:rsidR="005152AC" w:rsidRPr="00D812C1" w:rsidRDefault="005152AC" w:rsidP="005152AC">
      <w:pPr>
        <w:pStyle w:val="medium2-header"/>
        <w:keepLines w:val="0"/>
        <w:spacing w:before="72"/>
        <w:ind w:left="0" w:right="1134"/>
        <w:outlineLvl w:val="0"/>
        <w:rPr>
          <w:rFonts w:cs="FrankRuehl" w:hint="cs"/>
          <w:noProof/>
          <w:sz w:val="22"/>
          <w:szCs w:val="22"/>
          <w:rtl/>
        </w:rPr>
      </w:pPr>
      <w:bookmarkStart w:id="23" w:name="med21"/>
      <w:bookmarkEnd w:id="23"/>
      <w:r w:rsidRPr="00D812C1">
        <w:rPr>
          <w:rFonts w:cs="FrankRuehl" w:hint="cs"/>
          <w:noProof/>
          <w:sz w:val="22"/>
          <w:szCs w:val="22"/>
          <w:rtl/>
        </w:rPr>
        <w:t xml:space="preserve">סעיף </w:t>
      </w:r>
      <w:r>
        <w:rPr>
          <w:rFonts w:cs="FrankRuehl" w:hint="cs"/>
          <w:noProof/>
          <w:sz w:val="22"/>
          <w:szCs w:val="22"/>
          <w:rtl/>
        </w:rPr>
        <w:t>15</w:t>
      </w:r>
    </w:p>
    <w:p w14:paraId="67A55CA6" w14:textId="77777777" w:rsidR="005152AC" w:rsidRPr="00D812C1" w:rsidRDefault="005152AC" w:rsidP="005152A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בית דין בין-לאומי לבוררות</w:t>
      </w:r>
    </w:p>
    <w:p w14:paraId="4DE042EA" w14:textId="77777777" w:rsidR="005152AC" w:rsidRDefault="005152AC" w:rsidP="005152A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בית הדין הבין-לאומי לבוררות הנזכר בסעיפים 13 ו-14 לעיל ("בית הדין") יפעל בהתאם להוראות סעיף זה.</w:t>
      </w:r>
    </w:p>
    <w:p w14:paraId="2F73F974" w14:textId="77777777" w:rsidR="005152AC" w:rsidRDefault="005152AC" w:rsidP="005152A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r>
      <w:r w:rsidR="0070119F">
        <w:rPr>
          <w:rStyle w:val="default"/>
          <w:rFonts w:cs="FrankRuehl" w:hint="cs"/>
          <w:rtl/>
        </w:rPr>
        <w:t>כל צד למחלוקת ימנה חבר אחד של בית הדין. החברים שמונו כך יבחרו במשותף בחבר שלישי, אשר יהיה יושב ראש בית הדין. במקרה של אי-הסכמה בין חברי בית הדין בדבר בחירת יושב ראש, ימונה האחרון על פי בקשת הצדדים על ידי המזכיר הכללי של בית הדין הקבוע לבוררות.</w:t>
      </w:r>
    </w:p>
    <w:p w14:paraId="0F35A6F1" w14:textId="77777777" w:rsidR="0070119F" w:rsidRDefault="0070119F" w:rsidP="005152AC">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לא עלה בידי אחד הצדדים למחלוקת למנות חבר של בית הדין ולא נקט צעדים לעשות כן בתוך חודשיים אחרי בקשת הצד האחר, יהיה הצד האחר רשאי לבקש מהמזכיר הכללי של בית הדין הקבוע לבוררות לבצע את המינוי.</w:t>
      </w:r>
    </w:p>
    <w:p w14:paraId="18523030" w14:textId="77777777" w:rsidR="0070119F" w:rsidRDefault="0070119F" w:rsidP="005152AC">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בית הדין יקבע לעצמו את כללי הנוהל שלו.</w:t>
      </w:r>
    </w:p>
    <w:p w14:paraId="240F639A" w14:textId="77777777" w:rsidR="0070119F" w:rsidRDefault="0070119F" w:rsidP="005152AC">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לא תהיה זכות ערעור נגד פסיקת בית הדין, אשר תהיה סופית ומחייבת את שני הצדדים. במקרה של מחלוקת הנוגעת להשלכות או להיקף של הפסיקה, חובתו של בית הדין תהיה לתת פרשנות לבקשת צד.</w:t>
      </w:r>
    </w:p>
    <w:p w14:paraId="7D6CCD54" w14:textId="77777777" w:rsidR="0070119F" w:rsidRDefault="0070119F" w:rsidP="005152AC">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הצדדים מסכימים כי הענקת מנדט למזכיר הכללי של בית הדין הקבוע לבוררות בהתאם לס"ק 2 ו-3 לסעיף זה היא למטרת המעמד של חברות נלווית כשלב המוקדם לחברות, ולא תהווה חריג להתחייבויות הקשורות לחברות מלאה, ולא תצמצם או תפחית אותן.</w:t>
      </w:r>
    </w:p>
    <w:p w14:paraId="520E0D2B" w14:textId="77777777" w:rsidR="0070119F" w:rsidRPr="00D812C1" w:rsidRDefault="0070119F" w:rsidP="0070119F">
      <w:pPr>
        <w:pStyle w:val="medium2-header"/>
        <w:keepLines w:val="0"/>
        <w:spacing w:before="72"/>
        <w:ind w:left="0" w:right="1134"/>
        <w:outlineLvl w:val="0"/>
        <w:rPr>
          <w:rFonts w:cs="FrankRuehl" w:hint="cs"/>
          <w:noProof/>
          <w:sz w:val="22"/>
          <w:szCs w:val="22"/>
          <w:rtl/>
        </w:rPr>
      </w:pPr>
      <w:bookmarkStart w:id="24" w:name="med22"/>
      <w:bookmarkEnd w:id="24"/>
      <w:r w:rsidRPr="00D812C1">
        <w:rPr>
          <w:rFonts w:cs="FrankRuehl" w:hint="cs"/>
          <w:noProof/>
          <w:sz w:val="22"/>
          <w:szCs w:val="22"/>
          <w:rtl/>
        </w:rPr>
        <w:t xml:space="preserve">סעיף </w:t>
      </w:r>
      <w:r>
        <w:rPr>
          <w:rFonts w:cs="FrankRuehl" w:hint="cs"/>
          <w:noProof/>
          <w:sz w:val="22"/>
          <w:szCs w:val="22"/>
          <w:rtl/>
        </w:rPr>
        <w:t>16</w:t>
      </w:r>
    </w:p>
    <w:p w14:paraId="001C1BFE" w14:textId="77777777" w:rsidR="0070119F" w:rsidRPr="00D812C1" w:rsidRDefault="0070119F" w:rsidP="0070119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הסכמים מסוימים</w:t>
      </w:r>
    </w:p>
    <w:p w14:paraId="516A8BEE" w14:textId="77777777" w:rsidR="0070119F" w:rsidRDefault="0070119F" w:rsidP="005152A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r>
      <w:r w:rsidR="003A51C3">
        <w:rPr>
          <w:rStyle w:val="default"/>
          <w:rFonts w:cs="FrankRuehl" w:hint="cs"/>
          <w:rtl/>
        </w:rPr>
        <w:t>הוראות אלה לא יגבילו ולא יפגעו בהוראותיהם של הסכמים בין-לאומיים אחרים שנערכו בין הארגון לבין ישראל מטעמי מיקום בשטח ישראל של משרדיו, מיתקניו או מיתקנים אחרים. במקרה של סתירה בין הוראות אלה לבין הוראות הסכם בין-לאומי כאמור, הוראות אותו הסכם בין-לאומי יגברו.</w:t>
      </w:r>
    </w:p>
    <w:p w14:paraId="7F870D30" w14:textId="77777777" w:rsidR="003A51C3" w:rsidRDefault="003A51C3" w:rsidP="005152A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אין בהסכם זה דבר שימנע מישראל לעשות הסכמים בין-לאומיים אחרים עם הארגון המאשרים הוראות אלה, משלימים אותן, מרחיבים אותן או מחזקים אותן.</w:t>
      </w:r>
    </w:p>
    <w:p w14:paraId="7B11EFF5" w14:textId="77777777" w:rsidR="003A51C3" w:rsidRPr="00D812C1" w:rsidRDefault="003A51C3" w:rsidP="003A51C3">
      <w:pPr>
        <w:pStyle w:val="medium2-header"/>
        <w:keepLines w:val="0"/>
        <w:spacing w:before="72"/>
        <w:ind w:left="0" w:right="1134"/>
        <w:outlineLvl w:val="0"/>
        <w:rPr>
          <w:rFonts w:cs="FrankRuehl" w:hint="cs"/>
          <w:noProof/>
          <w:sz w:val="22"/>
          <w:szCs w:val="22"/>
          <w:rtl/>
        </w:rPr>
      </w:pPr>
      <w:bookmarkStart w:id="25" w:name="med23"/>
      <w:bookmarkEnd w:id="25"/>
      <w:r w:rsidRPr="00D812C1">
        <w:rPr>
          <w:rFonts w:cs="FrankRuehl" w:hint="cs"/>
          <w:noProof/>
          <w:sz w:val="22"/>
          <w:szCs w:val="22"/>
          <w:rtl/>
        </w:rPr>
        <w:t xml:space="preserve">סעיף </w:t>
      </w:r>
      <w:r>
        <w:rPr>
          <w:rFonts w:cs="FrankRuehl" w:hint="cs"/>
          <w:noProof/>
          <w:sz w:val="22"/>
          <w:szCs w:val="22"/>
          <w:rtl/>
        </w:rPr>
        <w:t>17</w:t>
      </w:r>
    </w:p>
    <w:p w14:paraId="7A2F7E37" w14:textId="77777777" w:rsidR="003A51C3" w:rsidRPr="00D812C1" w:rsidRDefault="003A51C3" w:rsidP="003A51C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רישום</w:t>
      </w:r>
    </w:p>
    <w:p w14:paraId="0B09F9B2" w14:textId="77777777" w:rsidR="003A51C3" w:rsidRPr="003A51C3" w:rsidRDefault="003A51C3" w:rsidP="003A51C3">
      <w:pPr>
        <w:pStyle w:val="P00"/>
        <w:spacing w:before="72"/>
        <w:ind w:left="0" w:right="1134"/>
        <w:rPr>
          <w:rStyle w:val="default"/>
          <w:rFonts w:cs="FrankRuehl" w:hint="cs"/>
          <w:sz w:val="20"/>
          <w:rtl/>
        </w:rPr>
      </w:pPr>
      <w:r w:rsidRPr="003A51C3">
        <w:rPr>
          <w:rStyle w:val="default"/>
          <w:rFonts w:cs="FrankRuehl" w:hint="cs"/>
          <w:sz w:val="20"/>
          <w:rtl/>
        </w:rPr>
        <w:t>עם כניסתן לתוקף של הוראות אלה, המזכיר הכללי של ארגון האומות המאוחדות לחינוך, מדע ותרבות (</w:t>
      </w:r>
      <w:r w:rsidRPr="003A51C3">
        <w:rPr>
          <w:rStyle w:val="default"/>
          <w:rFonts w:cs="FrankRuehl"/>
          <w:sz w:val="20"/>
        </w:rPr>
        <w:t>UNESCO</w:t>
      </w:r>
      <w:r w:rsidRPr="003A51C3">
        <w:rPr>
          <w:rStyle w:val="default"/>
          <w:rFonts w:cs="FrankRuehl" w:hint="cs"/>
          <w:sz w:val="20"/>
          <w:rtl/>
        </w:rPr>
        <w:t>) ירשום אותן במזכירות האומות המאוחדות בהתאם לסעיף 102 של מגילת האומות המאוחדות.</w:t>
      </w:r>
    </w:p>
    <w:p w14:paraId="18BCE2EE" w14:textId="77777777" w:rsidR="006903BD" w:rsidRDefault="006903BD">
      <w:pPr>
        <w:pStyle w:val="P00"/>
        <w:spacing w:before="72"/>
        <w:ind w:left="0" w:right="1134"/>
        <w:rPr>
          <w:rStyle w:val="default"/>
          <w:rFonts w:cs="FrankRuehl" w:hint="cs"/>
          <w:rtl/>
        </w:rPr>
      </w:pPr>
    </w:p>
    <w:p w14:paraId="215A7FF5" w14:textId="77777777" w:rsidR="00332489" w:rsidRDefault="00332489">
      <w:pPr>
        <w:pStyle w:val="P00"/>
        <w:spacing w:before="72"/>
        <w:ind w:left="0" w:right="1134"/>
        <w:rPr>
          <w:rStyle w:val="default"/>
          <w:rFonts w:cs="FrankRuehl" w:hint="cs"/>
          <w:rtl/>
        </w:rPr>
      </w:pPr>
    </w:p>
    <w:p w14:paraId="27EB9606" w14:textId="77777777" w:rsidR="00332489" w:rsidRPr="003A51C3" w:rsidRDefault="003A51C3" w:rsidP="003A51C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3A51C3">
        <w:rPr>
          <w:rStyle w:val="default"/>
          <w:rFonts w:cs="FrankRuehl" w:hint="cs"/>
          <w:rtl/>
        </w:rPr>
        <w:t>כ"ז בתמוז התשע"ב (17 ביולי 2012</w:t>
      </w:r>
      <w:r w:rsidR="00332489" w:rsidRPr="003A51C3">
        <w:rPr>
          <w:rStyle w:val="default"/>
          <w:rFonts w:cs="FrankRuehl" w:hint="cs"/>
          <w:rtl/>
        </w:rPr>
        <w:t>)</w:t>
      </w:r>
      <w:r w:rsidR="00332489" w:rsidRPr="003A51C3">
        <w:rPr>
          <w:rFonts w:cs="FrankRuehl" w:hint="cs"/>
          <w:rtl/>
        </w:rPr>
        <w:tab/>
      </w:r>
      <w:r w:rsidRPr="003A51C3">
        <w:rPr>
          <w:rFonts w:cs="FrankRuehl" w:hint="cs"/>
          <w:rtl/>
        </w:rPr>
        <w:t>אביגדור ליברמן</w:t>
      </w:r>
    </w:p>
    <w:p w14:paraId="13E72A9E" w14:textId="77777777" w:rsidR="00332489" w:rsidRDefault="00332489" w:rsidP="003A51C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החוץ</w:t>
      </w:r>
    </w:p>
    <w:p w14:paraId="265A98FC" w14:textId="77777777" w:rsidR="000A7945" w:rsidRDefault="000A7945">
      <w:pPr>
        <w:pStyle w:val="sig-0"/>
        <w:tabs>
          <w:tab w:val="clear" w:pos="4820"/>
          <w:tab w:val="center" w:pos="5670"/>
        </w:tabs>
        <w:ind w:left="0" w:right="1134"/>
        <w:rPr>
          <w:rFonts w:cs="FrankRuehl" w:hint="cs"/>
          <w:sz w:val="26"/>
          <w:rtl/>
        </w:rPr>
      </w:pPr>
    </w:p>
    <w:p w14:paraId="7CABCE1D" w14:textId="77777777" w:rsidR="00332489" w:rsidRDefault="00332489">
      <w:pPr>
        <w:pStyle w:val="sig-0"/>
        <w:tabs>
          <w:tab w:val="clear" w:pos="4820"/>
          <w:tab w:val="center" w:pos="5670"/>
        </w:tabs>
        <w:ind w:left="0" w:right="1134"/>
        <w:rPr>
          <w:rFonts w:cs="FrankRuehl" w:hint="cs"/>
          <w:sz w:val="26"/>
          <w:rtl/>
        </w:rPr>
      </w:pPr>
    </w:p>
    <w:p w14:paraId="660F352E" w14:textId="77777777" w:rsidR="00C03DFF" w:rsidRDefault="00C03DFF">
      <w:pPr>
        <w:pStyle w:val="sig-0"/>
        <w:ind w:left="0" w:right="1134"/>
        <w:rPr>
          <w:rFonts w:cs="FrankRuehl"/>
          <w:sz w:val="26"/>
          <w:rtl/>
        </w:rPr>
      </w:pPr>
    </w:p>
    <w:p w14:paraId="70780F48" w14:textId="77777777" w:rsidR="00C03DFF" w:rsidRDefault="00C03DFF">
      <w:pPr>
        <w:pStyle w:val="sig-0"/>
        <w:ind w:left="0" w:right="1134"/>
        <w:rPr>
          <w:rFonts w:cs="FrankRuehl"/>
          <w:sz w:val="26"/>
          <w:rtl/>
        </w:rPr>
      </w:pPr>
    </w:p>
    <w:p w14:paraId="48EF3ABC" w14:textId="77777777" w:rsidR="00C03DFF" w:rsidRDefault="00C03DFF" w:rsidP="00C03DFF">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1CAD289F" w14:textId="77777777" w:rsidR="00332489" w:rsidRPr="00C03DFF" w:rsidRDefault="00332489" w:rsidP="00C03DFF">
      <w:pPr>
        <w:pStyle w:val="sig-0"/>
        <w:ind w:left="0" w:right="1134"/>
        <w:jc w:val="center"/>
        <w:rPr>
          <w:rFonts w:cs="David"/>
          <w:color w:val="0000FF"/>
          <w:sz w:val="26"/>
          <w:szCs w:val="24"/>
          <w:u w:val="single"/>
          <w:rtl/>
        </w:rPr>
      </w:pPr>
    </w:p>
    <w:sectPr w:rsidR="00332489" w:rsidRPr="00C03DF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FA40" w14:textId="77777777" w:rsidR="00AA4E14" w:rsidRDefault="00AA4E14">
      <w:r>
        <w:separator/>
      </w:r>
    </w:p>
  </w:endnote>
  <w:endnote w:type="continuationSeparator" w:id="0">
    <w:p w14:paraId="3B3D75BA" w14:textId="77777777" w:rsidR="00AA4E14" w:rsidRDefault="00AA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5398"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D4A9CE6"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72039D"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6719"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3DFF">
      <w:rPr>
        <w:rFonts w:hAnsi="FrankRuehl" w:cs="FrankRuehl"/>
        <w:noProof/>
        <w:sz w:val="24"/>
        <w:szCs w:val="24"/>
        <w:rtl/>
      </w:rPr>
      <w:t>10</w:t>
    </w:r>
    <w:r>
      <w:rPr>
        <w:rFonts w:hAnsi="FrankRuehl" w:cs="FrankRuehl"/>
        <w:sz w:val="24"/>
        <w:szCs w:val="24"/>
        <w:rtl/>
      </w:rPr>
      <w:fldChar w:fldCharType="end"/>
    </w:r>
  </w:p>
  <w:p w14:paraId="585B1767"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9DA4DB"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F8E4" w14:textId="77777777" w:rsidR="00AA4E14" w:rsidRDefault="00AA4E14">
      <w:r>
        <w:separator/>
      </w:r>
    </w:p>
  </w:footnote>
  <w:footnote w:type="continuationSeparator" w:id="0">
    <w:p w14:paraId="0A0080E7" w14:textId="77777777" w:rsidR="00AA4E14" w:rsidRDefault="00AA4E14">
      <w:r>
        <w:continuationSeparator/>
      </w:r>
    </w:p>
  </w:footnote>
  <w:footnote w:id="1">
    <w:p w14:paraId="335D8296" w14:textId="77777777" w:rsidR="00E00D26" w:rsidRDefault="003A5FFE" w:rsidP="00E00D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Pr="006903BD">
        <w:rPr>
          <w:rFonts w:cs="FrankRuehl" w:hint="cs"/>
          <w:rtl/>
        </w:rPr>
        <w:t xml:space="preserve"> </w:t>
      </w:r>
      <w:hyperlink r:id="rId1" w:history="1">
        <w:r w:rsidRPr="00E00D26">
          <w:rPr>
            <w:rStyle w:val="Hyperlink"/>
            <w:rFonts w:cs="FrankRuehl" w:hint="cs"/>
            <w:rtl/>
          </w:rPr>
          <w:t>ק"ת תשע"ב מס' 7158</w:t>
        </w:r>
      </w:hyperlink>
      <w:r>
        <w:rPr>
          <w:rFonts w:cs="FrankRuehl" w:hint="cs"/>
          <w:rtl/>
        </w:rPr>
        <w:t xml:space="preserve"> מיום 26.8.2012 עמ' 1636.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5B5D" w14:textId="77777777" w:rsidR="003A5FFE" w:rsidRDefault="003A5F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60CD39A"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1EAC76"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5902" w14:textId="77777777" w:rsidR="003A5FFE" w:rsidRDefault="003A5FFE" w:rsidP="006903B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חסינויות וזכויות יתר (ארגונים בין-לאומיים ומשלחות מיוחדות) (הארגון האירופי למחקר גרעיני), תשע"ב-2012</w:t>
    </w:r>
  </w:p>
  <w:p w14:paraId="4227957E"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9ECE9B"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71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261"/>
    <w:rsid w:val="00052CDF"/>
    <w:rsid w:val="00065DED"/>
    <w:rsid w:val="000A7945"/>
    <w:rsid w:val="000E5A3E"/>
    <w:rsid w:val="00140DFB"/>
    <w:rsid w:val="00271466"/>
    <w:rsid w:val="00332489"/>
    <w:rsid w:val="003A51C3"/>
    <w:rsid w:val="003A5FFE"/>
    <w:rsid w:val="003F2972"/>
    <w:rsid w:val="005152AC"/>
    <w:rsid w:val="005364A8"/>
    <w:rsid w:val="00591EFB"/>
    <w:rsid w:val="00674A6C"/>
    <w:rsid w:val="00675973"/>
    <w:rsid w:val="006903BD"/>
    <w:rsid w:val="0070119F"/>
    <w:rsid w:val="007D4A67"/>
    <w:rsid w:val="009D2C88"/>
    <w:rsid w:val="00AA4E14"/>
    <w:rsid w:val="00AF0A70"/>
    <w:rsid w:val="00AF5261"/>
    <w:rsid w:val="00B43AE0"/>
    <w:rsid w:val="00B46641"/>
    <w:rsid w:val="00C03DFF"/>
    <w:rsid w:val="00C921A4"/>
    <w:rsid w:val="00D812C1"/>
    <w:rsid w:val="00E00D26"/>
    <w:rsid w:val="00E426EA"/>
    <w:rsid w:val="00EC6812"/>
    <w:rsid w:val="00EE0583"/>
    <w:rsid w:val="00F02D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CDFFDAD"/>
  <w15:chartTrackingRefBased/>
  <w15:docId w15:val="{4FCF25AE-C56A-4D05-920F-8919565C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22749</CharactersWithSpaces>
  <SharedDoc>false</SharedDoc>
  <HLinks>
    <vt:vector size="168" baseType="variant">
      <vt:variant>
        <vt:i4>393283</vt:i4>
      </vt:variant>
      <vt:variant>
        <vt:i4>156</vt:i4>
      </vt:variant>
      <vt:variant>
        <vt:i4>0</vt:i4>
      </vt:variant>
      <vt:variant>
        <vt:i4>5</vt:i4>
      </vt:variant>
      <vt:variant>
        <vt:lpwstr>http://www.nevo.co.il/advertisements/nevo-100.doc</vt:lpwstr>
      </vt:variant>
      <vt:variant>
        <vt:lpwstr/>
      </vt:variant>
      <vt:variant>
        <vt:i4>5701641</vt:i4>
      </vt:variant>
      <vt:variant>
        <vt:i4>150</vt:i4>
      </vt:variant>
      <vt:variant>
        <vt:i4>0</vt:i4>
      </vt:variant>
      <vt:variant>
        <vt:i4>5</vt:i4>
      </vt:variant>
      <vt:variant>
        <vt:lpwstr/>
      </vt:variant>
      <vt:variant>
        <vt:lpwstr>med23</vt:lpwstr>
      </vt:variant>
      <vt:variant>
        <vt:i4>5701641</vt:i4>
      </vt:variant>
      <vt:variant>
        <vt:i4>144</vt:i4>
      </vt:variant>
      <vt:variant>
        <vt:i4>0</vt:i4>
      </vt:variant>
      <vt:variant>
        <vt:i4>5</vt:i4>
      </vt:variant>
      <vt:variant>
        <vt:lpwstr/>
      </vt:variant>
      <vt:variant>
        <vt:lpwstr>med22</vt:lpwstr>
      </vt:variant>
      <vt:variant>
        <vt:i4>5701641</vt:i4>
      </vt:variant>
      <vt:variant>
        <vt:i4>138</vt:i4>
      </vt:variant>
      <vt:variant>
        <vt:i4>0</vt:i4>
      </vt:variant>
      <vt:variant>
        <vt:i4>5</vt:i4>
      </vt:variant>
      <vt:variant>
        <vt:lpwstr/>
      </vt:variant>
      <vt:variant>
        <vt:lpwstr>med21</vt:lpwstr>
      </vt:variant>
      <vt:variant>
        <vt:i4>5701641</vt:i4>
      </vt:variant>
      <vt:variant>
        <vt:i4>132</vt:i4>
      </vt:variant>
      <vt:variant>
        <vt:i4>0</vt:i4>
      </vt:variant>
      <vt:variant>
        <vt:i4>5</vt:i4>
      </vt:variant>
      <vt:variant>
        <vt:lpwstr/>
      </vt:variant>
      <vt:variant>
        <vt:lpwstr>med20</vt:lpwstr>
      </vt:variant>
      <vt:variant>
        <vt:i4>5505033</vt:i4>
      </vt:variant>
      <vt:variant>
        <vt:i4>126</vt:i4>
      </vt:variant>
      <vt:variant>
        <vt:i4>0</vt:i4>
      </vt:variant>
      <vt:variant>
        <vt:i4>5</vt:i4>
      </vt:variant>
      <vt:variant>
        <vt:lpwstr/>
      </vt:variant>
      <vt:variant>
        <vt:lpwstr>med19</vt:lpwstr>
      </vt:variant>
      <vt:variant>
        <vt:i4>5505033</vt:i4>
      </vt:variant>
      <vt:variant>
        <vt:i4>120</vt:i4>
      </vt:variant>
      <vt:variant>
        <vt:i4>0</vt:i4>
      </vt:variant>
      <vt:variant>
        <vt:i4>5</vt:i4>
      </vt:variant>
      <vt:variant>
        <vt:lpwstr/>
      </vt:variant>
      <vt:variant>
        <vt:lpwstr>med18</vt:lpwstr>
      </vt:variant>
      <vt:variant>
        <vt:i4>5505033</vt:i4>
      </vt:variant>
      <vt:variant>
        <vt:i4>114</vt:i4>
      </vt:variant>
      <vt:variant>
        <vt:i4>0</vt:i4>
      </vt:variant>
      <vt:variant>
        <vt:i4>5</vt:i4>
      </vt:variant>
      <vt:variant>
        <vt:lpwstr/>
      </vt:variant>
      <vt:variant>
        <vt:lpwstr>med17</vt:lpwstr>
      </vt:variant>
      <vt:variant>
        <vt:i4>5505033</vt:i4>
      </vt:variant>
      <vt:variant>
        <vt:i4>108</vt:i4>
      </vt:variant>
      <vt:variant>
        <vt:i4>0</vt:i4>
      </vt:variant>
      <vt:variant>
        <vt:i4>5</vt:i4>
      </vt:variant>
      <vt:variant>
        <vt:lpwstr/>
      </vt:variant>
      <vt:variant>
        <vt:lpwstr>med16</vt:lpwstr>
      </vt:variant>
      <vt:variant>
        <vt:i4>5505033</vt:i4>
      </vt:variant>
      <vt:variant>
        <vt:i4>102</vt:i4>
      </vt:variant>
      <vt:variant>
        <vt:i4>0</vt:i4>
      </vt:variant>
      <vt:variant>
        <vt:i4>5</vt:i4>
      </vt:variant>
      <vt:variant>
        <vt:lpwstr/>
      </vt:variant>
      <vt:variant>
        <vt:lpwstr>med15</vt:lpwstr>
      </vt:variant>
      <vt:variant>
        <vt:i4>5505033</vt:i4>
      </vt:variant>
      <vt:variant>
        <vt:i4>96</vt:i4>
      </vt:variant>
      <vt:variant>
        <vt:i4>0</vt:i4>
      </vt:variant>
      <vt:variant>
        <vt:i4>5</vt:i4>
      </vt:variant>
      <vt:variant>
        <vt:lpwstr/>
      </vt:variant>
      <vt:variant>
        <vt:lpwstr>med14</vt:lpwstr>
      </vt:variant>
      <vt:variant>
        <vt:i4>5505033</vt:i4>
      </vt:variant>
      <vt:variant>
        <vt:i4>90</vt:i4>
      </vt:variant>
      <vt:variant>
        <vt:i4>0</vt:i4>
      </vt:variant>
      <vt:variant>
        <vt:i4>5</vt:i4>
      </vt:variant>
      <vt:variant>
        <vt:lpwstr/>
      </vt:variant>
      <vt:variant>
        <vt:lpwstr>med13</vt:lpwstr>
      </vt:variant>
      <vt:variant>
        <vt:i4>5505033</vt:i4>
      </vt:variant>
      <vt:variant>
        <vt:i4>84</vt:i4>
      </vt:variant>
      <vt:variant>
        <vt:i4>0</vt:i4>
      </vt:variant>
      <vt:variant>
        <vt:i4>5</vt:i4>
      </vt:variant>
      <vt:variant>
        <vt:lpwstr/>
      </vt:variant>
      <vt:variant>
        <vt:lpwstr>med12</vt:lpwstr>
      </vt:variant>
      <vt:variant>
        <vt:i4>5505033</vt:i4>
      </vt:variant>
      <vt:variant>
        <vt:i4>78</vt:i4>
      </vt:variant>
      <vt:variant>
        <vt:i4>0</vt:i4>
      </vt:variant>
      <vt:variant>
        <vt:i4>5</vt:i4>
      </vt:variant>
      <vt:variant>
        <vt:lpwstr/>
      </vt:variant>
      <vt:variant>
        <vt:lpwstr>med11</vt:lpwstr>
      </vt:variant>
      <vt:variant>
        <vt:i4>5505033</vt:i4>
      </vt:variant>
      <vt:variant>
        <vt:i4>72</vt:i4>
      </vt:variant>
      <vt:variant>
        <vt:i4>0</vt:i4>
      </vt:variant>
      <vt:variant>
        <vt:i4>5</vt:i4>
      </vt:variant>
      <vt:variant>
        <vt:lpwstr/>
      </vt:variant>
      <vt:variant>
        <vt:lpwstr>med10</vt:lpwstr>
      </vt:variant>
      <vt:variant>
        <vt:i4>6029321</vt:i4>
      </vt:variant>
      <vt:variant>
        <vt:i4>66</vt:i4>
      </vt:variant>
      <vt:variant>
        <vt:i4>0</vt:i4>
      </vt:variant>
      <vt:variant>
        <vt:i4>5</vt:i4>
      </vt:variant>
      <vt:variant>
        <vt:lpwstr/>
      </vt:variant>
      <vt:variant>
        <vt:lpwstr>med9</vt:lpwstr>
      </vt:variant>
      <vt:variant>
        <vt:i4>6094857</vt:i4>
      </vt:variant>
      <vt:variant>
        <vt:i4>60</vt:i4>
      </vt:variant>
      <vt:variant>
        <vt:i4>0</vt:i4>
      </vt:variant>
      <vt:variant>
        <vt:i4>5</vt:i4>
      </vt:variant>
      <vt:variant>
        <vt:lpwstr/>
      </vt:variant>
      <vt:variant>
        <vt:lpwstr>med8</vt:lpwstr>
      </vt:variant>
      <vt:variant>
        <vt:i4>5373961</vt:i4>
      </vt:variant>
      <vt:variant>
        <vt:i4>54</vt:i4>
      </vt:variant>
      <vt:variant>
        <vt:i4>0</vt:i4>
      </vt:variant>
      <vt:variant>
        <vt:i4>5</vt:i4>
      </vt:variant>
      <vt:variant>
        <vt:lpwstr/>
      </vt:variant>
      <vt:variant>
        <vt:lpwstr>med7</vt:lpwstr>
      </vt:variant>
      <vt:variant>
        <vt:i4>5439497</vt:i4>
      </vt:variant>
      <vt:variant>
        <vt:i4>48</vt:i4>
      </vt:variant>
      <vt:variant>
        <vt:i4>0</vt:i4>
      </vt:variant>
      <vt:variant>
        <vt:i4>5</vt:i4>
      </vt:variant>
      <vt:variant>
        <vt:lpwstr/>
      </vt:variant>
      <vt:variant>
        <vt:lpwstr>med6</vt:lpwstr>
      </vt:variant>
      <vt:variant>
        <vt:i4>5242889</vt:i4>
      </vt:variant>
      <vt:variant>
        <vt:i4>42</vt:i4>
      </vt:variant>
      <vt:variant>
        <vt:i4>0</vt:i4>
      </vt:variant>
      <vt:variant>
        <vt:i4>5</vt:i4>
      </vt:variant>
      <vt:variant>
        <vt:lpwstr/>
      </vt:variant>
      <vt:variant>
        <vt:lpwstr>med5</vt:lpwstr>
      </vt:variant>
      <vt:variant>
        <vt:i4>5308425</vt:i4>
      </vt:variant>
      <vt:variant>
        <vt:i4>36</vt:i4>
      </vt:variant>
      <vt:variant>
        <vt:i4>0</vt:i4>
      </vt:variant>
      <vt:variant>
        <vt:i4>5</vt:i4>
      </vt:variant>
      <vt:variant>
        <vt:lpwstr/>
      </vt:variant>
      <vt:variant>
        <vt:lpwstr>med4</vt:lpwstr>
      </vt:variant>
      <vt:variant>
        <vt:i4>5636105</vt:i4>
      </vt:variant>
      <vt:variant>
        <vt:i4>30</vt:i4>
      </vt:variant>
      <vt:variant>
        <vt:i4>0</vt:i4>
      </vt:variant>
      <vt:variant>
        <vt:i4>5</vt:i4>
      </vt:variant>
      <vt:variant>
        <vt:lpwstr/>
      </vt:variant>
      <vt:variant>
        <vt:lpwstr>med3</vt:lpwstr>
      </vt:variant>
      <vt:variant>
        <vt:i4>5701641</vt:i4>
      </vt:variant>
      <vt:variant>
        <vt:i4>24</vt:i4>
      </vt:variant>
      <vt:variant>
        <vt:i4>0</vt:i4>
      </vt:variant>
      <vt:variant>
        <vt:i4>5</vt:i4>
      </vt:variant>
      <vt:variant>
        <vt:lpwstr/>
      </vt:variant>
      <vt:variant>
        <vt:lpwstr>med2</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8060929</vt:i4>
      </vt:variant>
      <vt:variant>
        <vt:i4>0</vt:i4>
      </vt:variant>
      <vt:variant>
        <vt:i4>0</vt:i4>
      </vt:variant>
      <vt:variant>
        <vt:i4>5</vt:i4>
      </vt:variant>
      <vt:variant>
        <vt:lpwstr>http://www.nevo.co.il/Law_word/law06/TAK-7158.pdf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חסינויות וזכויות יתר (ארגונים בין-לאומיים ומשלחות מיוחדות) (הארגון האירופי למחקר גרעיני), תשע"ב-2012</vt:lpwstr>
  </property>
  <property fmtid="{D5CDD505-2E9C-101B-9397-08002B2CF9AE}" pid="4" name="LAWNUMBER">
    <vt:lpwstr>0758</vt:lpwstr>
  </property>
  <property fmtid="{D5CDD505-2E9C-101B-9397-08002B2CF9AE}" pid="5" name="TYPE">
    <vt:lpwstr>01</vt:lpwstr>
  </property>
  <property fmtid="{D5CDD505-2E9C-101B-9397-08002B2CF9AE}" pid="6" name="CHNAME">
    <vt:lpwstr>חסינויות וזכויות יתר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ארגונים בין-לאומיים</vt:lpwstr>
  </property>
  <property fmtid="{D5CDD505-2E9C-101B-9397-08002B2CF9AE}" pid="23" name="NOSE31">
    <vt:lpwstr>חסינויות וזכויות</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מדע</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חסינויות וזכויות יתר (ארגונים בין-לאומיים ומשלחות מיוחדות)</vt:lpwstr>
  </property>
  <property fmtid="{D5CDD505-2E9C-101B-9397-08002B2CF9AE}" pid="62" name="MEKOR_SAIF1">
    <vt:lpwstr>2X</vt:lpwstr>
  </property>
  <property fmtid="{D5CDD505-2E9C-101B-9397-08002B2CF9AE}" pid="63" name="MEKORSAMCHUT">
    <vt:lpwstr/>
  </property>
  <property fmtid="{D5CDD505-2E9C-101B-9397-08002B2CF9AE}" pid="64" name="LINKK1">
    <vt:lpwstr>http://www.nevo.co.il/Law_word/law06/TAK-7158.pdf;רשומות - תקנות כלליות#פורסם ק"ת תשע"ב מס' 7158 #מיום 26.8.2012 עמ' 1636</vt:lpwstr>
  </property>
</Properties>
</file>