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4CAB" w14:textId="77777777" w:rsidR="00332489" w:rsidRDefault="00332489" w:rsidP="006903BD">
      <w:pPr>
        <w:pStyle w:val="big-header"/>
        <w:ind w:left="0" w:right="1134"/>
        <w:rPr>
          <w:rFonts w:cs="FrankRuehl" w:hint="cs"/>
          <w:sz w:val="32"/>
          <w:rtl/>
        </w:rPr>
      </w:pPr>
      <w:r>
        <w:rPr>
          <w:rFonts w:cs="FrankRuehl" w:hint="cs"/>
          <w:sz w:val="32"/>
          <w:rtl/>
        </w:rPr>
        <w:t>צו חסינויות וזכויות יתר (ארגונים בין-לאומיים ומשלחות מיוחדות) (</w:t>
      </w:r>
      <w:r w:rsidR="00851F51">
        <w:rPr>
          <w:rFonts w:cs="FrankRuehl" w:hint="cs"/>
          <w:sz w:val="32"/>
          <w:rtl/>
        </w:rPr>
        <w:t>הסוכנות הבין-לאומית לאנרגיה אטומית), תשפ"א-2021</w:t>
      </w:r>
    </w:p>
    <w:p w14:paraId="529B16B5" w14:textId="77777777" w:rsidR="006903BD" w:rsidRPr="006903BD" w:rsidRDefault="006903BD" w:rsidP="006903BD">
      <w:pPr>
        <w:spacing w:line="320" w:lineRule="auto"/>
        <w:rPr>
          <w:rFonts w:cs="FrankRuehl"/>
          <w:szCs w:val="26"/>
          <w:rtl/>
        </w:rPr>
      </w:pPr>
    </w:p>
    <w:p w14:paraId="22C30EBF" w14:textId="77777777" w:rsidR="006903BD" w:rsidRDefault="006903BD" w:rsidP="006903BD">
      <w:pPr>
        <w:spacing w:line="320" w:lineRule="auto"/>
        <w:rPr>
          <w:rtl/>
        </w:rPr>
      </w:pPr>
    </w:p>
    <w:p w14:paraId="30198BEE" w14:textId="77777777" w:rsidR="006903BD" w:rsidRDefault="006903BD" w:rsidP="006903BD">
      <w:pPr>
        <w:spacing w:line="320" w:lineRule="auto"/>
        <w:rPr>
          <w:rFonts w:cs="Miriam"/>
          <w:szCs w:val="22"/>
          <w:rtl/>
        </w:rPr>
      </w:pPr>
      <w:r w:rsidRPr="006903BD">
        <w:rPr>
          <w:rFonts w:cs="Miriam"/>
          <w:szCs w:val="22"/>
          <w:rtl/>
        </w:rPr>
        <w:t>משפט בינ"ל פומבי</w:t>
      </w:r>
      <w:r w:rsidRPr="006903BD">
        <w:rPr>
          <w:rFonts w:cs="FrankRuehl"/>
          <w:szCs w:val="26"/>
          <w:rtl/>
        </w:rPr>
        <w:t xml:space="preserve"> – ארגונים בין-לאומיים – חסינויות וזכויות</w:t>
      </w:r>
    </w:p>
    <w:p w14:paraId="5F19FB6E" w14:textId="77777777" w:rsidR="006903BD" w:rsidRPr="006903BD" w:rsidRDefault="006903BD" w:rsidP="006903BD">
      <w:pPr>
        <w:spacing w:line="320" w:lineRule="auto"/>
        <w:rPr>
          <w:rFonts w:cs="Miriam" w:hint="cs"/>
          <w:szCs w:val="22"/>
          <w:rtl/>
        </w:rPr>
      </w:pPr>
      <w:r w:rsidRPr="006903BD">
        <w:rPr>
          <w:rFonts w:cs="Miriam"/>
          <w:szCs w:val="22"/>
          <w:rtl/>
        </w:rPr>
        <w:t>רשויות ומשפט מנהלי</w:t>
      </w:r>
      <w:r w:rsidRPr="006903BD">
        <w:rPr>
          <w:rFonts w:cs="FrankRuehl"/>
          <w:szCs w:val="26"/>
          <w:rtl/>
        </w:rPr>
        <w:t xml:space="preserve"> – מדע</w:t>
      </w:r>
    </w:p>
    <w:p w14:paraId="02CFA03A" w14:textId="77777777" w:rsidR="00332489" w:rsidRDefault="003324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45247" w:rsidRPr="00945247" w14:paraId="6DFDF6D9" w14:textId="77777777" w:rsidTr="00945247">
        <w:tblPrEx>
          <w:tblCellMar>
            <w:top w:w="0" w:type="dxa"/>
            <w:bottom w:w="0" w:type="dxa"/>
          </w:tblCellMar>
        </w:tblPrEx>
        <w:tc>
          <w:tcPr>
            <w:tcW w:w="1247" w:type="dxa"/>
          </w:tcPr>
          <w:p w14:paraId="72428ECF" w14:textId="77777777" w:rsidR="00945247" w:rsidRPr="00945247" w:rsidRDefault="00945247" w:rsidP="00945247">
            <w:pPr>
              <w:rPr>
                <w:rFonts w:cs="Frankruhel" w:hint="cs"/>
                <w:rtl/>
              </w:rPr>
            </w:pPr>
            <w:r>
              <w:rPr>
                <w:rtl/>
              </w:rPr>
              <w:t xml:space="preserve">סעיף 1 </w:t>
            </w:r>
          </w:p>
        </w:tc>
        <w:tc>
          <w:tcPr>
            <w:tcW w:w="5669" w:type="dxa"/>
          </w:tcPr>
          <w:p w14:paraId="7E6D8ED0" w14:textId="77777777" w:rsidR="00945247" w:rsidRPr="00945247" w:rsidRDefault="00945247" w:rsidP="00945247">
            <w:pPr>
              <w:rPr>
                <w:rFonts w:cs="Frankruhel" w:hint="cs"/>
                <w:rtl/>
              </w:rPr>
            </w:pPr>
            <w:r>
              <w:rPr>
                <w:rtl/>
              </w:rPr>
              <w:t>הגדרות</w:t>
            </w:r>
          </w:p>
        </w:tc>
        <w:tc>
          <w:tcPr>
            <w:tcW w:w="567" w:type="dxa"/>
          </w:tcPr>
          <w:p w14:paraId="4C0CBCD2" w14:textId="77777777" w:rsidR="00945247" w:rsidRPr="00945247" w:rsidRDefault="00945247" w:rsidP="00945247">
            <w:pPr>
              <w:rPr>
                <w:rStyle w:val="Hyperlink"/>
                <w:rFonts w:hint="cs"/>
                <w:rtl/>
              </w:rPr>
            </w:pPr>
            <w:hyperlink w:anchor="Seif1" w:tooltip="הגדרות" w:history="1">
              <w:r w:rsidRPr="00945247">
                <w:rPr>
                  <w:rStyle w:val="Hyperlink"/>
                </w:rPr>
                <w:t>Go</w:t>
              </w:r>
            </w:hyperlink>
          </w:p>
        </w:tc>
        <w:tc>
          <w:tcPr>
            <w:tcW w:w="850" w:type="dxa"/>
          </w:tcPr>
          <w:p w14:paraId="1FB4967D" w14:textId="77777777" w:rsidR="00945247" w:rsidRPr="00945247" w:rsidRDefault="00945247" w:rsidP="0094524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45247" w:rsidRPr="00945247" w14:paraId="711E09FD" w14:textId="77777777" w:rsidTr="00945247">
        <w:tblPrEx>
          <w:tblCellMar>
            <w:top w:w="0" w:type="dxa"/>
            <w:bottom w:w="0" w:type="dxa"/>
          </w:tblCellMar>
        </w:tblPrEx>
        <w:tc>
          <w:tcPr>
            <w:tcW w:w="1247" w:type="dxa"/>
          </w:tcPr>
          <w:p w14:paraId="42F3E0F0" w14:textId="77777777" w:rsidR="00945247" w:rsidRPr="00945247" w:rsidRDefault="00945247" w:rsidP="00945247">
            <w:pPr>
              <w:rPr>
                <w:rFonts w:cs="Frankruhel" w:hint="cs"/>
                <w:rtl/>
              </w:rPr>
            </w:pPr>
            <w:r>
              <w:rPr>
                <w:rtl/>
              </w:rPr>
              <w:t xml:space="preserve">סעיף 2 </w:t>
            </w:r>
          </w:p>
        </w:tc>
        <w:tc>
          <w:tcPr>
            <w:tcW w:w="5669" w:type="dxa"/>
          </w:tcPr>
          <w:p w14:paraId="210925A4" w14:textId="77777777" w:rsidR="00945247" w:rsidRPr="00945247" w:rsidRDefault="00945247" w:rsidP="00945247">
            <w:pPr>
              <w:rPr>
                <w:rFonts w:cs="Frankruhel" w:hint="cs"/>
                <w:rtl/>
              </w:rPr>
            </w:pPr>
            <w:r>
              <w:rPr>
                <w:rtl/>
              </w:rPr>
              <w:t>חסינויות וזכויות יתר</w:t>
            </w:r>
          </w:p>
        </w:tc>
        <w:tc>
          <w:tcPr>
            <w:tcW w:w="567" w:type="dxa"/>
          </w:tcPr>
          <w:p w14:paraId="76F5BEDF" w14:textId="77777777" w:rsidR="00945247" w:rsidRPr="00945247" w:rsidRDefault="00945247" w:rsidP="00945247">
            <w:pPr>
              <w:rPr>
                <w:rStyle w:val="Hyperlink"/>
                <w:rFonts w:hint="cs"/>
                <w:rtl/>
              </w:rPr>
            </w:pPr>
            <w:hyperlink w:anchor="Seif3" w:tooltip="חסינויות וזכויות יתר" w:history="1">
              <w:r w:rsidRPr="00945247">
                <w:rPr>
                  <w:rStyle w:val="Hyperlink"/>
                </w:rPr>
                <w:t>Go</w:t>
              </w:r>
            </w:hyperlink>
          </w:p>
        </w:tc>
        <w:tc>
          <w:tcPr>
            <w:tcW w:w="850" w:type="dxa"/>
          </w:tcPr>
          <w:p w14:paraId="4CA856FD" w14:textId="77777777" w:rsidR="00945247" w:rsidRPr="00945247" w:rsidRDefault="00945247" w:rsidP="0094524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45247" w:rsidRPr="00945247" w14:paraId="2BDD5377" w14:textId="77777777" w:rsidTr="00945247">
        <w:tblPrEx>
          <w:tblCellMar>
            <w:top w:w="0" w:type="dxa"/>
            <w:bottom w:w="0" w:type="dxa"/>
          </w:tblCellMar>
        </w:tblPrEx>
        <w:tc>
          <w:tcPr>
            <w:tcW w:w="1247" w:type="dxa"/>
          </w:tcPr>
          <w:p w14:paraId="28722633" w14:textId="77777777" w:rsidR="00945247" w:rsidRPr="00945247" w:rsidRDefault="00945247" w:rsidP="00945247">
            <w:pPr>
              <w:rPr>
                <w:rFonts w:cs="Frankruhel" w:hint="cs"/>
                <w:rtl/>
              </w:rPr>
            </w:pPr>
            <w:r>
              <w:rPr>
                <w:rtl/>
              </w:rPr>
              <w:t xml:space="preserve">סעיף 3 </w:t>
            </w:r>
          </w:p>
        </w:tc>
        <w:tc>
          <w:tcPr>
            <w:tcW w:w="5669" w:type="dxa"/>
          </w:tcPr>
          <w:p w14:paraId="3E302C99" w14:textId="77777777" w:rsidR="00945247" w:rsidRPr="00945247" w:rsidRDefault="00945247" w:rsidP="00945247">
            <w:pPr>
              <w:rPr>
                <w:rFonts w:cs="Frankruhel" w:hint="cs"/>
                <w:rtl/>
              </w:rPr>
            </w:pPr>
            <w:r>
              <w:rPr>
                <w:rtl/>
              </w:rPr>
              <w:t>סייג</w:t>
            </w:r>
          </w:p>
        </w:tc>
        <w:tc>
          <w:tcPr>
            <w:tcW w:w="567" w:type="dxa"/>
          </w:tcPr>
          <w:p w14:paraId="592BBAA7" w14:textId="77777777" w:rsidR="00945247" w:rsidRPr="00945247" w:rsidRDefault="00945247" w:rsidP="00945247">
            <w:pPr>
              <w:rPr>
                <w:rStyle w:val="Hyperlink"/>
                <w:rFonts w:hint="cs"/>
                <w:rtl/>
              </w:rPr>
            </w:pPr>
            <w:hyperlink w:anchor="Seif2" w:tooltip="סייג" w:history="1">
              <w:r w:rsidRPr="00945247">
                <w:rPr>
                  <w:rStyle w:val="Hyperlink"/>
                </w:rPr>
                <w:t>Go</w:t>
              </w:r>
            </w:hyperlink>
          </w:p>
        </w:tc>
        <w:tc>
          <w:tcPr>
            <w:tcW w:w="850" w:type="dxa"/>
          </w:tcPr>
          <w:p w14:paraId="7DA48709" w14:textId="77777777" w:rsidR="00945247" w:rsidRPr="00945247" w:rsidRDefault="00945247" w:rsidP="0094524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45247" w:rsidRPr="00945247" w14:paraId="5FAB8143" w14:textId="77777777" w:rsidTr="00945247">
        <w:tblPrEx>
          <w:tblCellMar>
            <w:top w:w="0" w:type="dxa"/>
            <w:bottom w:w="0" w:type="dxa"/>
          </w:tblCellMar>
        </w:tblPrEx>
        <w:tc>
          <w:tcPr>
            <w:tcW w:w="1247" w:type="dxa"/>
          </w:tcPr>
          <w:p w14:paraId="64D7C4FC" w14:textId="77777777" w:rsidR="00945247" w:rsidRPr="00945247" w:rsidRDefault="00945247" w:rsidP="00945247">
            <w:pPr>
              <w:rPr>
                <w:rFonts w:cs="Frankruhel" w:hint="cs"/>
                <w:rtl/>
              </w:rPr>
            </w:pPr>
          </w:p>
        </w:tc>
        <w:tc>
          <w:tcPr>
            <w:tcW w:w="5669" w:type="dxa"/>
          </w:tcPr>
          <w:p w14:paraId="44ACDFB2" w14:textId="77777777" w:rsidR="00945247" w:rsidRPr="00945247" w:rsidRDefault="00945247" w:rsidP="00945247">
            <w:pPr>
              <w:rPr>
                <w:rFonts w:cs="Frankruhel" w:hint="cs"/>
                <w:rtl/>
              </w:rPr>
            </w:pPr>
            <w:r>
              <w:rPr>
                <w:rtl/>
              </w:rPr>
              <w:t>תוספת ראשונה</w:t>
            </w:r>
          </w:p>
        </w:tc>
        <w:tc>
          <w:tcPr>
            <w:tcW w:w="567" w:type="dxa"/>
          </w:tcPr>
          <w:p w14:paraId="370E9BF0" w14:textId="77777777" w:rsidR="00945247" w:rsidRPr="00945247" w:rsidRDefault="00945247" w:rsidP="00945247">
            <w:pPr>
              <w:rPr>
                <w:rStyle w:val="Hyperlink"/>
                <w:rFonts w:hint="cs"/>
                <w:rtl/>
              </w:rPr>
            </w:pPr>
            <w:hyperlink w:anchor="med0" w:tooltip="תוספת ראשונה" w:history="1">
              <w:r w:rsidRPr="00945247">
                <w:rPr>
                  <w:rStyle w:val="Hyperlink"/>
                </w:rPr>
                <w:t>Go</w:t>
              </w:r>
            </w:hyperlink>
          </w:p>
        </w:tc>
        <w:tc>
          <w:tcPr>
            <w:tcW w:w="850" w:type="dxa"/>
          </w:tcPr>
          <w:p w14:paraId="46810BB9" w14:textId="77777777" w:rsidR="00945247" w:rsidRPr="00945247" w:rsidRDefault="00945247" w:rsidP="0094524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945247" w:rsidRPr="00945247" w14:paraId="65206F12" w14:textId="77777777" w:rsidTr="00945247">
        <w:tblPrEx>
          <w:tblCellMar>
            <w:top w:w="0" w:type="dxa"/>
            <w:bottom w:w="0" w:type="dxa"/>
          </w:tblCellMar>
        </w:tblPrEx>
        <w:tc>
          <w:tcPr>
            <w:tcW w:w="1247" w:type="dxa"/>
          </w:tcPr>
          <w:p w14:paraId="518AC500" w14:textId="77777777" w:rsidR="00945247" w:rsidRPr="00945247" w:rsidRDefault="00945247" w:rsidP="00945247">
            <w:pPr>
              <w:rPr>
                <w:rFonts w:cs="Frankruhel" w:hint="cs"/>
                <w:rtl/>
              </w:rPr>
            </w:pPr>
            <w:r>
              <w:rPr>
                <w:rtl/>
              </w:rPr>
              <w:t xml:space="preserve">סעיף 1 </w:t>
            </w:r>
          </w:p>
        </w:tc>
        <w:tc>
          <w:tcPr>
            <w:tcW w:w="5669" w:type="dxa"/>
          </w:tcPr>
          <w:p w14:paraId="53B46CC9" w14:textId="77777777" w:rsidR="00945247" w:rsidRPr="00945247" w:rsidRDefault="00945247" w:rsidP="00945247">
            <w:pPr>
              <w:rPr>
                <w:rFonts w:cs="Frankruhel" w:hint="cs"/>
                <w:rtl/>
              </w:rPr>
            </w:pPr>
            <w:r>
              <w:rPr>
                <w:rtl/>
              </w:rPr>
              <w:t>סעיף 9</w:t>
            </w:r>
          </w:p>
        </w:tc>
        <w:tc>
          <w:tcPr>
            <w:tcW w:w="567" w:type="dxa"/>
          </w:tcPr>
          <w:p w14:paraId="4BBE486A" w14:textId="77777777" w:rsidR="00945247" w:rsidRPr="00945247" w:rsidRDefault="00945247" w:rsidP="00945247">
            <w:pPr>
              <w:rPr>
                <w:rStyle w:val="Hyperlink"/>
                <w:rFonts w:hint="cs"/>
                <w:rtl/>
              </w:rPr>
            </w:pPr>
            <w:hyperlink w:anchor="Seif4" w:tooltip="סעיף 9" w:history="1">
              <w:r w:rsidRPr="00945247">
                <w:rPr>
                  <w:rStyle w:val="Hyperlink"/>
                </w:rPr>
                <w:t>Go</w:t>
              </w:r>
            </w:hyperlink>
          </w:p>
        </w:tc>
        <w:tc>
          <w:tcPr>
            <w:tcW w:w="850" w:type="dxa"/>
          </w:tcPr>
          <w:p w14:paraId="5DECEBD7" w14:textId="77777777" w:rsidR="00945247" w:rsidRPr="00945247" w:rsidRDefault="00945247" w:rsidP="0094524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945247" w:rsidRPr="00945247" w14:paraId="73D5B461" w14:textId="77777777" w:rsidTr="00945247">
        <w:tblPrEx>
          <w:tblCellMar>
            <w:top w:w="0" w:type="dxa"/>
            <w:bottom w:w="0" w:type="dxa"/>
          </w:tblCellMar>
        </w:tblPrEx>
        <w:tc>
          <w:tcPr>
            <w:tcW w:w="1247" w:type="dxa"/>
          </w:tcPr>
          <w:p w14:paraId="2851E8D2" w14:textId="77777777" w:rsidR="00945247" w:rsidRPr="00945247" w:rsidRDefault="00945247" w:rsidP="00945247">
            <w:pPr>
              <w:rPr>
                <w:rFonts w:cs="Frankruhel" w:hint="cs"/>
                <w:rtl/>
              </w:rPr>
            </w:pPr>
          </w:p>
        </w:tc>
        <w:tc>
          <w:tcPr>
            <w:tcW w:w="5669" w:type="dxa"/>
          </w:tcPr>
          <w:p w14:paraId="695D8D9D" w14:textId="77777777" w:rsidR="00945247" w:rsidRPr="00945247" w:rsidRDefault="00945247" w:rsidP="00945247">
            <w:pPr>
              <w:rPr>
                <w:rFonts w:cs="Frankruhel" w:hint="cs"/>
                <w:rtl/>
              </w:rPr>
            </w:pPr>
            <w:r>
              <w:rPr>
                <w:rtl/>
              </w:rPr>
              <w:t>תוספת שנייה</w:t>
            </w:r>
          </w:p>
        </w:tc>
        <w:tc>
          <w:tcPr>
            <w:tcW w:w="567" w:type="dxa"/>
          </w:tcPr>
          <w:p w14:paraId="450EAB42" w14:textId="77777777" w:rsidR="00945247" w:rsidRPr="00945247" w:rsidRDefault="00945247" w:rsidP="00945247">
            <w:pPr>
              <w:rPr>
                <w:rStyle w:val="Hyperlink"/>
                <w:rFonts w:hint="cs"/>
                <w:rtl/>
              </w:rPr>
            </w:pPr>
            <w:hyperlink w:anchor="med1" w:tooltip="תוספת שנייה" w:history="1">
              <w:r w:rsidRPr="00945247">
                <w:rPr>
                  <w:rStyle w:val="Hyperlink"/>
                </w:rPr>
                <w:t>Go</w:t>
              </w:r>
            </w:hyperlink>
          </w:p>
        </w:tc>
        <w:tc>
          <w:tcPr>
            <w:tcW w:w="850" w:type="dxa"/>
          </w:tcPr>
          <w:p w14:paraId="5ECCDA0B" w14:textId="77777777" w:rsidR="00945247" w:rsidRPr="00945247" w:rsidRDefault="00945247" w:rsidP="0094524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bl>
    <w:p w14:paraId="6875EC04" w14:textId="77777777" w:rsidR="00332489" w:rsidRDefault="00332489">
      <w:pPr>
        <w:pStyle w:val="big-header"/>
        <w:ind w:left="0" w:right="1134"/>
        <w:rPr>
          <w:rFonts w:cs="FrankRuehl" w:hint="cs"/>
          <w:sz w:val="32"/>
          <w:rtl/>
        </w:rPr>
      </w:pPr>
    </w:p>
    <w:p w14:paraId="0EEC3C2F" w14:textId="77777777" w:rsidR="00332489" w:rsidRPr="00AF5261" w:rsidRDefault="00332489" w:rsidP="006903BD">
      <w:pPr>
        <w:pStyle w:val="big-header"/>
        <w:ind w:left="0" w:right="1134"/>
        <w:rPr>
          <w:rStyle w:val="default"/>
          <w:rFonts w:cs="FrankRuehl" w:hint="cs"/>
          <w:sz w:val="32"/>
          <w:szCs w:val="32"/>
          <w:rtl/>
        </w:rPr>
      </w:pPr>
      <w:r>
        <w:rPr>
          <w:rFonts w:cs="FrankRuehl"/>
          <w:sz w:val="32"/>
          <w:rtl/>
        </w:rPr>
        <w:br w:type="page"/>
      </w:r>
      <w:r w:rsidR="006903BD">
        <w:rPr>
          <w:rFonts w:cs="FrankRuehl" w:hint="cs"/>
          <w:sz w:val="32"/>
          <w:rtl/>
        </w:rPr>
        <w:lastRenderedPageBreak/>
        <w:t>צו חסינויות וזכויות יתר (ארגונים בין-לאומיים ומשלחות מיוחדות) (</w:t>
      </w:r>
      <w:r w:rsidR="00851F51">
        <w:rPr>
          <w:rFonts w:cs="FrankRuehl" w:hint="cs"/>
          <w:sz w:val="32"/>
          <w:rtl/>
        </w:rPr>
        <w:t>הסוכנות הבין-לאומית לאנרגיה אטומית), תשפ"א-2021</w:t>
      </w:r>
      <w:r>
        <w:rPr>
          <w:rStyle w:val="default"/>
          <w:sz w:val="22"/>
          <w:szCs w:val="22"/>
          <w:rtl/>
        </w:rPr>
        <w:footnoteReference w:customMarkFollows="1" w:id="1"/>
        <w:t>*</w:t>
      </w:r>
    </w:p>
    <w:p w14:paraId="17CD8BAD" w14:textId="77777777" w:rsidR="00332489" w:rsidRDefault="00332489">
      <w:pPr>
        <w:pStyle w:val="P00"/>
        <w:spacing w:before="72"/>
        <w:ind w:left="0" w:right="1134"/>
        <w:rPr>
          <w:rStyle w:val="default"/>
          <w:rFonts w:cs="FrankRuehl"/>
          <w:rtl/>
        </w:rPr>
      </w:pPr>
      <w:r>
        <w:rPr>
          <w:rStyle w:val="default"/>
          <w:rFonts w:cs="FrankRuehl" w:hint="cs"/>
          <w:rtl/>
        </w:rPr>
        <w:tab/>
      </w:r>
      <w:r>
        <w:rPr>
          <w:rStyle w:val="default"/>
          <w:rFonts w:cs="FrankRuehl"/>
          <w:rtl/>
        </w:rPr>
        <w:t>בתוקף סמכותי לפי סעיף 2 לחוק חסינויות וזכויות יתר (ארגונים בין</w:t>
      </w:r>
      <w:r>
        <w:rPr>
          <w:rStyle w:val="default"/>
          <w:rFonts w:cs="FrankRuehl" w:hint="cs"/>
          <w:rtl/>
        </w:rPr>
        <w:t>-</w:t>
      </w:r>
      <w:r>
        <w:rPr>
          <w:rStyle w:val="default"/>
          <w:rFonts w:cs="FrankRuehl"/>
          <w:rtl/>
        </w:rPr>
        <w:t>לאומיים ומשלחות מיוחדות), התשמ"ג</w:t>
      </w:r>
      <w:r>
        <w:rPr>
          <w:rStyle w:val="default"/>
          <w:rFonts w:cs="FrankRuehl" w:hint="cs"/>
          <w:rtl/>
        </w:rPr>
        <w:t>-1983</w:t>
      </w:r>
      <w:r w:rsidR="00851F51">
        <w:rPr>
          <w:rStyle w:val="default"/>
          <w:rFonts w:cs="FrankRuehl" w:hint="cs"/>
          <w:rtl/>
        </w:rPr>
        <w:t xml:space="preserve"> (להלן </w:t>
      </w:r>
      <w:r w:rsidR="00851F51">
        <w:rPr>
          <w:rStyle w:val="default"/>
          <w:rFonts w:cs="FrankRuehl"/>
          <w:rtl/>
        </w:rPr>
        <w:t>–</w:t>
      </w:r>
      <w:r w:rsidR="00851F51">
        <w:rPr>
          <w:rStyle w:val="default"/>
          <w:rFonts w:cs="FrankRuehl" w:hint="cs"/>
          <w:rtl/>
        </w:rPr>
        <w:t xml:space="preserve"> החוק)</w:t>
      </w:r>
      <w:r>
        <w:rPr>
          <w:rStyle w:val="default"/>
          <w:rFonts w:cs="FrankRuehl"/>
          <w:rtl/>
        </w:rPr>
        <w:t>, באישור הממשלה</w:t>
      </w:r>
      <w:r w:rsidR="000A7945">
        <w:rPr>
          <w:rStyle w:val="default"/>
          <w:rFonts w:cs="FrankRuehl" w:hint="cs"/>
          <w:rtl/>
        </w:rPr>
        <w:t>,</w:t>
      </w:r>
      <w:r>
        <w:rPr>
          <w:rStyle w:val="default"/>
          <w:rFonts w:cs="FrankRuehl"/>
          <w:rtl/>
        </w:rPr>
        <w:t xml:space="preserve"> ולאחר התייעצות עם היועץ המשפטי לממשלה </w:t>
      </w:r>
      <w:r w:rsidR="000A7945">
        <w:rPr>
          <w:rStyle w:val="default"/>
          <w:rFonts w:cs="FrankRuehl" w:hint="cs"/>
          <w:rtl/>
        </w:rPr>
        <w:t xml:space="preserve">לפי סעיף 5 לחוק האמור, </w:t>
      </w:r>
      <w:r>
        <w:rPr>
          <w:rStyle w:val="default"/>
          <w:rFonts w:cs="FrankRuehl"/>
          <w:rtl/>
        </w:rPr>
        <w:t>אני מצווה לאמור:</w:t>
      </w:r>
    </w:p>
    <w:p w14:paraId="437432F4" w14:textId="77777777" w:rsidR="00332489" w:rsidRDefault="00332489" w:rsidP="000A7945">
      <w:pPr>
        <w:pStyle w:val="P00"/>
        <w:spacing w:before="72"/>
        <w:ind w:left="0" w:right="1134"/>
        <w:rPr>
          <w:rStyle w:val="default"/>
          <w:rFonts w:cs="FrankRuehl"/>
          <w:sz w:val="20"/>
          <w:rtl/>
        </w:rPr>
      </w:pPr>
      <w:bookmarkStart w:id="0" w:name="Seif1"/>
      <w:bookmarkEnd w:id="0"/>
      <w:r>
        <w:rPr>
          <w:rFonts w:cs="Miriam"/>
          <w:lang w:val="he-IL"/>
        </w:rPr>
        <w:pict w14:anchorId="1A0F804A">
          <v:rect id="_x0000_s1026" style="position:absolute;left:0;text-align:left;margin-left:464.35pt;margin-top:7.1pt;width:75.05pt;height:12.95pt;z-index:251655680" o:allowincell="f" filled="f" stroked="f" strokecolor="lime" strokeweight=".25pt">
            <v:textbox style="mso-next-textbox:#_x0000_s1026" inset="0,0,0,0">
              <w:txbxContent>
                <w:p w14:paraId="3909ED93" w14:textId="77777777" w:rsidR="003A5FFE" w:rsidRDefault="00851F5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51F51">
        <w:rPr>
          <w:rStyle w:val="default"/>
          <w:rFonts w:cs="FrankRuehl" w:hint="cs"/>
          <w:sz w:val="20"/>
          <w:rtl/>
        </w:rPr>
        <w:t xml:space="preserve">בצו זה </w:t>
      </w:r>
      <w:r w:rsidR="00851F51">
        <w:rPr>
          <w:rStyle w:val="default"/>
          <w:rFonts w:cs="FrankRuehl"/>
          <w:sz w:val="20"/>
          <w:rtl/>
        </w:rPr>
        <w:t>–</w:t>
      </w:r>
    </w:p>
    <w:p w14:paraId="5BD3A2F0" w14:textId="77777777" w:rsidR="00851F51" w:rsidRDefault="00851F51" w:rsidP="000A794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"אמנת זכויות היתר והחסינויות לאומות המאוחדות" </w:t>
      </w:r>
      <w:r w:rsidR="00957602">
        <w:rPr>
          <w:rStyle w:val="default"/>
          <w:rFonts w:cs="FrankRuehl"/>
          <w:sz w:val="20"/>
          <w:rtl/>
        </w:rPr>
        <w:t>–</w:t>
      </w:r>
      <w:r>
        <w:rPr>
          <w:rStyle w:val="default"/>
          <w:rFonts w:cs="FrankRuehl" w:hint="cs"/>
          <w:sz w:val="20"/>
          <w:rtl/>
        </w:rPr>
        <w:t xml:space="preserve"> </w:t>
      </w:r>
      <w:r w:rsidR="00957602">
        <w:rPr>
          <w:rStyle w:val="default"/>
          <w:rFonts w:cs="FrankRuehl" w:hint="cs"/>
          <w:sz w:val="20"/>
          <w:rtl/>
        </w:rPr>
        <w:t>האמנה בדבר זכויות יתר וחסינות לאומות המאוחדות מיום י"ב באדר א' התש"ו (13 בפברואר 1946);</w:t>
      </w:r>
    </w:p>
    <w:p w14:paraId="611ECB65" w14:textId="77777777" w:rsidR="00957602" w:rsidRDefault="00957602" w:rsidP="000A794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"הסכם החסינויות וזכויות היתר לסבא"א" </w:t>
      </w:r>
      <w:r>
        <w:rPr>
          <w:rStyle w:val="default"/>
          <w:rFonts w:cs="FrankRuehl"/>
          <w:sz w:val="20"/>
          <w:rtl/>
        </w:rPr>
        <w:t>–</w:t>
      </w:r>
      <w:r>
        <w:rPr>
          <w:rStyle w:val="default"/>
          <w:rFonts w:cs="FrankRuehl" w:hint="cs"/>
          <w:sz w:val="20"/>
          <w:rtl/>
        </w:rPr>
        <w:t xml:space="preserve"> ההסכם בדבר חסינויות וזכויות יתר של הסוכנות הבין-לאומית לאנרגיה אטומית מיום כ"ה בסיוון התשי"ט (1 ביולי 1959);</w:t>
      </w:r>
    </w:p>
    <w:p w14:paraId="756DC558" w14:textId="77777777" w:rsidR="00957602" w:rsidRDefault="00957602" w:rsidP="000A794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"ההסכם המתוקן לסיוע טכני" </w:t>
      </w:r>
      <w:r>
        <w:rPr>
          <w:rStyle w:val="default"/>
          <w:rFonts w:cs="FrankRuehl"/>
          <w:sz w:val="20"/>
          <w:rtl/>
        </w:rPr>
        <w:t>–</w:t>
      </w:r>
      <w:r>
        <w:rPr>
          <w:rStyle w:val="default"/>
          <w:rFonts w:cs="FrankRuehl" w:hint="cs"/>
          <w:sz w:val="20"/>
          <w:rtl/>
        </w:rPr>
        <w:t xml:space="preserve"> ההסכם המתוקן לסיוע טכני של הסוכנות הבין-לאומית לאנרגיה אטומית לממשלת ישראל מיום י"ג בסיוון התש"ס (16 ביוני 2000);</w:t>
      </w:r>
    </w:p>
    <w:p w14:paraId="0F38B124" w14:textId="77777777" w:rsidR="00957602" w:rsidRDefault="00957602" w:rsidP="000A794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"הסכם הפיקוח על מרכז מחקר גרעיני (ממ"ג) שורק" </w:t>
      </w:r>
      <w:r>
        <w:rPr>
          <w:rStyle w:val="default"/>
          <w:rFonts w:cs="FrankRuehl"/>
          <w:sz w:val="20"/>
          <w:rtl/>
        </w:rPr>
        <w:t>–</w:t>
      </w:r>
      <w:r>
        <w:rPr>
          <w:rStyle w:val="default"/>
          <w:rFonts w:cs="FrankRuehl" w:hint="cs"/>
          <w:sz w:val="20"/>
          <w:rtl/>
        </w:rPr>
        <w:t xml:space="preserve"> ההסכם בין סבא"א, ממשלת ישראל וממשלת ארצות-הברית בדבר החלת אמצעי בטיחות בממ"ג שורק מיום כ"ג בניסן התשל"ה (4 באפריל 1975);</w:t>
      </w:r>
    </w:p>
    <w:p w14:paraId="0CF06269" w14:textId="77777777" w:rsidR="00957602" w:rsidRDefault="00957602" w:rsidP="000A794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"הסוכנות", "סבא"א" </w:t>
      </w:r>
      <w:r>
        <w:rPr>
          <w:rStyle w:val="default"/>
          <w:rFonts w:cs="FrankRuehl"/>
          <w:sz w:val="20"/>
          <w:rtl/>
        </w:rPr>
        <w:t>–</w:t>
      </w:r>
      <w:r>
        <w:rPr>
          <w:rStyle w:val="default"/>
          <w:rFonts w:cs="FrankRuehl" w:hint="cs"/>
          <w:sz w:val="20"/>
          <w:rtl/>
        </w:rPr>
        <w:t xml:space="preserve"> הסוכנות הבין-לאומית לאנרגיה אטומית;</w:t>
      </w:r>
    </w:p>
    <w:p w14:paraId="7CFC0FB0" w14:textId="77777777" w:rsidR="00957602" w:rsidRDefault="00957602" w:rsidP="000A794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"פקחי סבא"א" </w:t>
      </w:r>
      <w:r>
        <w:rPr>
          <w:rStyle w:val="default"/>
          <w:rFonts w:cs="FrankRuehl"/>
          <w:sz w:val="20"/>
          <w:rtl/>
        </w:rPr>
        <w:t>–</w:t>
      </w:r>
      <w:r>
        <w:rPr>
          <w:rStyle w:val="default"/>
          <w:rFonts w:cs="FrankRuehl" w:hint="cs"/>
          <w:sz w:val="20"/>
          <w:rtl/>
        </w:rPr>
        <w:t xml:space="preserve"> מי שמבצעים מטעם סבא"א תפקידי פיקוח כמתואר בסעיף 12 לתקנון הסוכנות הבין-לאומית לאנרגיה אטומית (26 באוקטובר 1956);</w:t>
      </w:r>
    </w:p>
    <w:p w14:paraId="6CF2BFF5" w14:textId="77777777" w:rsidR="00957602" w:rsidRDefault="00957602" w:rsidP="000A7945">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"פקידי סבא"א" </w:t>
      </w:r>
      <w:r>
        <w:rPr>
          <w:rStyle w:val="default"/>
          <w:rFonts w:cs="FrankRuehl"/>
          <w:sz w:val="20"/>
          <w:rtl/>
        </w:rPr>
        <w:t>–</w:t>
      </w:r>
      <w:r>
        <w:rPr>
          <w:rStyle w:val="default"/>
          <w:rFonts w:cs="FrankRuehl" w:hint="cs"/>
          <w:sz w:val="20"/>
          <w:rtl/>
        </w:rPr>
        <w:t xml:space="preserve"> כהגדרתם בסעיף 1(5) להסכם החסינויות הזכויות היתר לסבא"א, ובנוסף מי שנותן שירותים מטעם סבא"א בהתאם לסעיף 9(3) להסכם המתוקן לסיוע טכני שתרגומו לעברית מובא בתוספת הראשונה.</w:t>
      </w:r>
    </w:p>
    <w:p w14:paraId="37BAFEEF" w14:textId="77777777" w:rsidR="00851F51" w:rsidRDefault="00851F51" w:rsidP="00851F51">
      <w:pPr>
        <w:pStyle w:val="P00"/>
        <w:spacing w:before="72"/>
        <w:ind w:left="0" w:right="1134"/>
        <w:rPr>
          <w:rStyle w:val="default"/>
          <w:rFonts w:cs="FrankRuehl"/>
          <w:sz w:val="20"/>
          <w:rtl/>
        </w:rPr>
      </w:pPr>
      <w:bookmarkStart w:id="1" w:name="Seif3"/>
      <w:bookmarkEnd w:id="1"/>
      <w:r>
        <w:rPr>
          <w:rFonts w:cs="Miriam"/>
          <w:lang w:val="he-IL"/>
        </w:rPr>
        <w:pict w14:anchorId="5FB947A9">
          <v:rect id="_x0000_s1214" style="position:absolute;left:0;text-align:left;margin-left:464.35pt;margin-top:7.1pt;width:75.05pt;height:12.95pt;z-index:251657728" o:allowincell="f" filled="f" stroked="f" strokecolor="lime" strokeweight=".25pt">
            <v:textbox style="mso-next-textbox:#_x0000_s1214" inset="0,0,0,0">
              <w:txbxContent>
                <w:p w14:paraId="14E8E2D1" w14:textId="77777777" w:rsidR="00851F51" w:rsidRDefault="00851F51" w:rsidP="00851F51">
                  <w:pPr>
                    <w:spacing w:line="160" w:lineRule="exact"/>
                    <w:rPr>
                      <w:rFonts w:cs="Miriam" w:hint="cs"/>
                      <w:noProof/>
                      <w:sz w:val="18"/>
                      <w:szCs w:val="18"/>
                      <w:rtl/>
                    </w:rPr>
                  </w:pPr>
                  <w:r>
                    <w:rPr>
                      <w:rFonts w:cs="Miriam" w:hint="cs"/>
                      <w:sz w:val="18"/>
                      <w:szCs w:val="18"/>
                      <w:rtl/>
                    </w:rPr>
                    <w:t>חסינויות וזכויות יתר</w:t>
                  </w:r>
                </w:p>
              </w:txbxContent>
            </v:textbox>
            <w10:anchorlock/>
          </v:rect>
        </w:pict>
      </w:r>
      <w:r w:rsidR="00BB79CF">
        <w:rPr>
          <w:rStyle w:val="big-number"/>
          <w:rFonts w:cs="Miriam" w:hint="cs"/>
          <w:rtl/>
        </w:rPr>
        <w:t>2</w:t>
      </w:r>
      <w:r>
        <w:rPr>
          <w:rStyle w:val="big-number"/>
          <w:rFonts w:cs="FrankRuehl"/>
          <w:sz w:val="26"/>
          <w:szCs w:val="26"/>
          <w:rtl/>
        </w:rPr>
        <w:t>.</w:t>
      </w:r>
      <w:r>
        <w:rPr>
          <w:rStyle w:val="big-number"/>
          <w:rFonts w:cs="FrankRuehl"/>
          <w:sz w:val="26"/>
          <w:szCs w:val="26"/>
          <w:rtl/>
        </w:rPr>
        <w:tab/>
      </w:r>
      <w:r w:rsidR="00BB79CF">
        <w:rPr>
          <w:rStyle w:val="default"/>
          <w:rFonts w:cs="FrankRuehl" w:hint="cs"/>
          <w:sz w:val="20"/>
          <w:rtl/>
        </w:rPr>
        <w:t>(א)</w:t>
      </w:r>
      <w:r w:rsidR="00BB79CF">
        <w:rPr>
          <w:rStyle w:val="default"/>
          <w:rFonts w:cs="FrankRuehl"/>
          <w:sz w:val="20"/>
          <w:rtl/>
        </w:rPr>
        <w:tab/>
      </w:r>
      <w:r w:rsidR="00BB79CF">
        <w:rPr>
          <w:rStyle w:val="default"/>
          <w:rFonts w:cs="FrankRuehl" w:hint="cs"/>
          <w:sz w:val="20"/>
          <w:rtl/>
        </w:rPr>
        <w:t xml:space="preserve">לסבא"א, רכושה, כספיה ונכסיה, </w:t>
      </w:r>
      <w:r w:rsidR="0097352E">
        <w:rPr>
          <w:rStyle w:val="default"/>
          <w:rFonts w:cs="FrankRuehl" w:hint="cs"/>
          <w:sz w:val="20"/>
          <w:rtl/>
        </w:rPr>
        <w:t>וכן לפקידיה ולאנשים הנותנים שירותים בשם סבא"א, יהיו החסינויות וזכויות היתר הנוגעות בדבר המפורטות באמנת זכויות היתר וחהסינויות לאומות המאוחדות, כאמור בסעיף 9 לנספח להסכם המתוקן לסיוע טכני, כנוסחו בתוספת הראשונה</w:t>
      </w:r>
      <w:r>
        <w:rPr>
          <w:rStyle w:val="default"/>
          <w:rFonts w:cs="FrankRuehl" w:hint="cs"/>
          <w:sz w:val="20"/>
          <w:rtl/>
        </w:rPr>
        <w:t>.</w:t>
      </w:r>
      <w:r w:rsidR="0097352E">
        <w:rPr>
          <w:rStyle w:val="default"/>
          <w:rFonts w:cs="FrankRuehl" w:hint="cs"/>
          <w:sz w:val="20"/>
          <w:rtl/>
        </w:rPr>
        <w:t xml:space="preserve"> פטור ממסים עקיפים, בהתאם לצו זה, יינתן בדרך של החזר.</w:t>
      </w:r>
    </w:p>
    <w:p w14:paraId="1BD2E414" w14:textId="77777777" w:rsidR="0097352E" w:rsidRDefault="0097352E" w:rsidP="00851F51">
      <w:pPr>
        <w:pStyle w:val="P00"/>
        <w:spacing w:before="72"/>
        <w:ind w:left="0" w:right="1134"/>
        <w:rPr>
          <w:rStyle w:val="default"/>
          <w:rFonts w:cs="FrankRuehl" w:hint="cs"/>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לפקחי סבא"א המבצעים תפקידים מטעם סבא"א לפי הסכם הפיקוח על מרכז מחקר גרעיני (ממ"ג) שורק, יהיו החסינויות וזכויות היתר המפורטות בסעיף 7 להסכם החסינויות לסבא"א, כנוסחו בתוספת השנייה.</w:t>
      </w:r>
    </w:p>
    <w:p w14:paraId="04849129" w14:textId="77777777" w:rsidR="00332489" w:rsidRDefault="00332489" w:rsidP="000A7945">
      <w:pPr>
        <w:pStyle w:val="P00"/>
        <w:spacing w:before="72"/>
        <w:ind w:left="0" w:right="1134"/>
        <w:rPr>
          <w:rStyle w:val="default"/>
          <w:rFonts w:cs="FrankRuehl" w:hint="cs"/>
          <w:rtl/>
        </w:rPr>
      </w:pPr>
      <w:bookmarkStart w:id="2" w:name="Seif2"/>
      <w:bookmarkEnd w:id="2"/>
      <w:r>
        <w:rPr>
          <w:rFonts w:cs="Miriam"/>
          <w:lang w:val="he-IL"/>
        </w:rPr>
        <w:pict w14:anchorId="61FF01BF">
          <v:rect id="_x0000_s1179" style="position:absolute;left:0;text-align:left;margin-left:464.35pt;margin-top:7.1pt;width:75.05pt;height:9.05pt;z-index:251656704" o:allowincell="f" filled="f" stroked="f" strokecolor="lime" strokeweight=".25pt">
            <v:textbox style="mso-next-textbox:#_x0000_s1179" inset="0,0,0,0">
              <w:txbxContent>
                <w:p w14:paraId="7D9F20A7" w14:textId="77777777" w:rsidR="003A5FFE" w:rsidRDefault="003A5FFE">
                  <w:pPr>
                    <w:spacing w:line="160" w:lineRule="exact"/>
                    <w:rPr>
                      <w:rFonts w:cs="Miriam" w:hint="cs"/>
                      <w:noProof/>
                      <w:sz w:val="18"/>
                      <w:szCs w:val="18"/>
                      <w:rtl/>
                    </w:rPr>
                  </w:pPr>
                  <w:r>
                    <w:rPr>
                      <w:rFonts w:cs="Miriam" w:hint="cs"/>
                      <w:sz w:val="18"/>
                      <w:szCs w:val="18"/>
                      <w:rtl/>
                    </w:rPr>
                    <w:t>סייג</w:t>
                  </w:r>
                </w:p>
              </w:txbxContent>
            </v:textbox>
            <w10:anchorlock/>
          </v:rect>
        </w:pict>
      </w:r>
      <w:r w:rsidR="0097352E">
        <w:rPr>
          <w:rStyle w:val="big-number"/>
          <w:rFonts w:cs="Miriam" w:hint="cs"/>
          <w:rtl/>
        </w:rPr>
        <w:t>3</w:t>
      </w:r>
      <w:r>
        <w:rPr>
          <w:rStyle w:val="big-number"/>
          <w:rFonts w:cs="FrankRuehl"/>
          <w:sz w:val="26"/>
          <w:szCs w:val="26"/>
          <w:rtl/>
        </w:rPr>
        <w:t>.</w:t>
      </w:r>
      <w:r>
        <w:rPr>
          <w:rStyle w:val="big-number"/>
          <w:rFonts w:cs="FrankRuehl"/>
          <w:sz w:val="26"/>
          <w:szCs w:val="26"/>
          <w:rtl/>
        </w:rPr>
        <w:tab/>
      </w:r>
      <w:r w:rsidR="000A7945">
        <w:rPr>
          <w:rStyle w:val="default"/>
          <w:rFonts w:cs="FrankRuehl" w:hint="cs"/>
          <w:rtl/>
        </w:rPr>
        <w:t xml:space="preserve">על אף האמור בסעיף </w:t>
      </w:r>
      <w:r w:rsidR="0097352E">
        <w:rPr>
          <w:rStyle w:val="default"/>
          <w:rFonts w:cs="FrankRuehl" w:hint="cs"/>
          <w:rtl/>
        </w:rPr>
        <w:t>2</w:t>
      </w:r>
      <w:r w:rsidR="000A7945">
        <w:rPr>
          <w:rStyle w:val="default"/>
          <w:rFonts w:cs="FrankRuehl" w:hint="cs"/>
          <w:rtl/>
        </w:rPr>
        <w:t>, לא יוענקו חסינויות וזכויות יתר לפי צו זה לאזרח</w:t>
      </w:r>
      <w:r w:rsidR="0097352E">
        <w:rPr>
          <w:rStyle w:val="default"/>
          <w:rFonts w:cs="FrankRuehl" w:hint="cs"/>
          <w:rtl/>
        </w:rPr>
        <w:t>י</w:t>
      </w:r>
      <w:r w:rsidR="000A7945">
        <w:rPr>
          <w:rStyle w:val="default"/>
          <w:rFonts w:cs="FrankRuehl" w:hint="cs"/>
          <w:rtl/>
        </w:rPr>
        <w:t xml:space="preserve"> ישראל או לתושב</w:t>
      </w:r>
      <w:r w:rsidR="0097352E">
        <w:rPr>
          <w:rStyle w:val="default"/>
          <w:rFonts w:cs="FrankRuehl" w:hint="cs"/>
          <w:rtl/>
        </w:rPr>
        <w:t>יה</w:t>
      </w:r>
      <w:r w:rsidR="000A7945">
        <w:rPr>
          <w:rStyle w:val="default"/>
          <w:rFonts w:cs="FrankRuehl" w:hint="cs"/>
          <w:rtl/>
        </w:rPr>
        <w:t>.</w:t>
      </w:r>
    </w:p>
    <w:p w14:paraId="6CC186B7" w14:textId="77777777" w:rsidR="00851F51" w:rsidRDefault="00851F51">
      <w:pPr>
        <w:pStyle w:val="P00"/>
        <w:spacing w:before="72"/>
        <w:ind w:left="0" w:right="1134"/>
        <w:rPr>
          <w:rStyle w:val="default"/>
          <w:rFonts w:cs="FrankRuehl" w:hint="cs"/>
          <w:rtl/>
        </w:rPr>
      </w:pPr>
    </w:p>
    <w:p w14:paraId="575A1CDB" w14:textId="77777777" w:rsidR="006903BD" w:rsidRPr="00F02DF5" w:rsidRDefault="000A7945" w:rsidP="00F02DF5">
      <w:pPr>
        <w:pStyle w:val="medium2-header"/>
        <w:keepLines w:val="0"/>
        <w:spacing w:before="72"/>
        <w:ind w:left="0" w:right="1134"/>
        <w:outlineLvl w:val="0"/>
        <w:rPr>
          <w:rFonts w:cs="FrankRuehl" w:hint="cs"/>
          <w:noProof/>
          <w:rtl/>
        </w:rPr>
      </w:pPr>
      <w:bookmarkStart w:id="3" w:name="med0"/>
      <w:bookmarkEnd w:id="3"/>
      <w:r w:rsidRPr="00F02DF5">
        <w:rPr>
          <w:rFonts w:cs="FrankRuehl" w:hint="cs"/>
          <w:noProof/>
          <w:rtl/>
        </w:rPr>
        <w:t>תוספת</w:t>
      </w:r>
      <w:r w:rsidR="0097352E">
        <w:rPr>
          <w:rFonts w:cs="FrankRuehl" w:hint="cs"/>
          <w:noProof/>
          <w:rtl/>
        </w:rPr>
        <w:t xml:space="preserve"> ראשונה</w:t>
      </w:r>
    </w:p>
    <w:p w14:paraId="3711D97F" w14:textId="77777777" w:rsidR="006903BD" w:rsidRPr="00F02DF5" w:rsidRDefault="000A7945" w:rsidP="00F02DF5">
      <w:pPr>
        <w:pStyle w:val="P00"/>
        <w:spacing w:before="72"/>
        <w:ind w:left="0" w:right="1134"/>
        <w:jc w:val="center"/>
        <w:rPr>
          <w:rStyle w:val="default"/>
          <w:rFonts w:cs="FrankRuehl" w:hint="cs"/>
          <w:sz w:val="24"/>
          <w:szCs w:val="24"/>
          <w:rtl/>
        </w:rPr>
      </w:pPr>
      <w:r w:rsidRPr="00F02DF5">
        <w:rPr>
          <w:rStyle w:val="default"/>
          <w:rFonts w:cs="FrankRuehl" w:hint="cs"/>
          <w:sz w:val="24"/>
          <w:szCs w:val="24"/>
          <w:rtl/>
        </w:rPr>
        <w:t>(סעי</w:t>
      </w:r>
      <w:r w:rsidR="0097352E">
        <w:rPr>
          <w:rStyle w:val="default"/>
          <w:rFonts w:cs="FrankRuehl" w:hint="cs"/>
          <w:sz w:val="24"/>
          <w:szCs w:val="24"/>
          <w:rtl/>
        </w:rPr>
        <w:t>פים</w:t>
      </w:r>
      <w:r w:rsidRPr="00F02DF5">
        <w:rPr>
          <w:rStyle w:val="default"/>
          <w:rFonts w:cs="FrankRuehl" w:hint="cs"/>
          <w:sz w:val="24"/>
          <w:szCs w:val="24"/>
          <w:rtl/>
        </w:rPr>
        <w:t xml:space="preserve"> 1</w:t>
      </w:r>
      <w:r w:rsidR="0097352E">
        <w:rPr>
          <w:rStyle w:val="default"/>
          <w:rFonts w:cs="FrankRuehl" w:hint="cs"/>
          <w:sz w:val="24"/>
          <w:szCs w:val="24"/>
          <w:rtl/>
        </w:rPr>
        <w:t xml:space="preserve"> ו-2(א)</w:t>
      </w:r>
      <w:r w:rsidRPr="00F02DF5">
        <w:rPr>
          <w:rStyle w:val="default"/>
          <w:rFonts w:cs="FrankRuehl" w:hint="cs"/>
          <w:sz w:val="24"/>
          <w:szCs w:val="24"/>
          <w:rtl/>
        </w:rPr>
        <w:t>)</w:t>
      </w:r>
    </w:p>
    <w:p w14:paraId="42D1B21B" w14:textId="77777777" w:rsidR="006903BD" w:rsidRPr="00F02DF5" w:rsidRDefault="000A7945" w:rsidP="00F02DF5">
      <w:pPr>
        <w:pStyle w:val="P00"/>
        <w:spacing w:before="72"/>
        <w:ind w:left="0" w:right="1134"/>
        <w:jc w:val="center"/>
        <w:rPr>
          <w:rStyle w:val="default"/>
          <w:rFonts w:cs="FrankRuehl" w:hint="cs"/>
          <w:b/>
          <w:bCs/>
          <w:sz w:val="18"/>
          <w:szCs w:val="22"/>
          <w:rtl/>
        </w:rPr>
      </w:pPr>
      <w:r w:rsidRPr="00F02DF5">
        <w:rPr>
          <w:rStyle w:val="default"/>
          <w:rFonts w:cs="FrankRuehl" w:hint="cs"/>
          <w:b/>
          <w:bCs/>
          <w:sz w:val="18"/>
          <w:szCs w:val="22"/>
          <w:rtl/>
        </w:rPr>
        <w:t xml:space="preserve">הסכם </w:t>
      </w:r>
      <w:r w:rsidR="0097352E">
        <w:rPr>
          <w:rStyle w:val="default"/>
          <w:rFonts w:cs="FrankRuehl" w:hint="cs"/>
          <w:b/>
          <w:bCs/>
          <w:sz w:val="18"/>
          <w:szCs w:val="22"/>
          <w:rtl/>
        </w:rPr>
        <w:t>ההסכם המתוקן לסיוע טכני של הסוכנות הבין-לאומית אנרגיה אטומית לממשלת ישראל</w:t>
      </w:r>
    </w:p>
    <w:p w14:paraId="01AA8EE7" w14:textId="77777777" w:rsidR="0097352E" w:rsidRDefault="0097352E" w:rsidP="0097352E">
      <w:pPr>
        <w:pStyle w:val="P00"/>
        <w:spacing w:before="72"/>
        <w:ind w:left="0" w:right="1134"/>
        <w:rPr>
          <w:rStyle w:val="default"/>
          <w:rFonts w:cs="FrankRuehl" w:hint="cs"/>
          <w:sz w:val="20"/>
          <w:rtl/>
        </w:rPr>
      </w:pPr>
      <w:bookmarkStart w:id="4" w:name="Seif4"/>
      <w:bookmarkEnd w:id="4"/>
      <w:r w:rsidRPr="0097352E">
        <w:rPr>
          <w:rStyle w:val="default"/>
          <w:rFonts w:cs="FrankRuehl"/>
          <w:sz w:val="20"/>
        </w:rPr>
        <w:pict w14:anchorId="0EF2F70C">
          <v:rect id="_x0000_s1215" style="position:absolute;left:0;text-align:left;margin-left:464.35pt;margin-top:7.1pt;width:75.05pt;height:28pt;z-index:251658752" o:allowincell="f" filled="f" stroked="f" strokecolor="lime" strokeweight=".25pt">
            <v:textbox style="mso-next-textbox:#_x0000_s1215" inset="0,0,0,0">
              <w:txbxContent>
                <w:p w14:paraId="16E3283F" w14:textId="77777777" w:rsidR="0097352E" w:rsidRDefault="0097352E" w:rsidP="0097352E">
                  <w:pPr>
                    <w:spacing w:line="160" w:lineRule="exact"/>
                    <w:rPr>
                      <w:rFonts w:cs="Miriam" w:hint="cs"/>
                      <w:noProof/>
                      <w:sz w:val="18"/>
                      <w:szCs w:val="18"/>
                      <w:rtl/>
                    </w:rPr>
                  </w:pPr>
                  <w:r>
                    <w:rPr>
                      <w:rFonts w:cs="Miriam" w:hint="cs"/>
                      <w:sz w:val="18"/>
                      <w:szCs w:val="18"/>
                      <w:rtl/>
                    </w:rPr>
                    <w:t>סעיף 9 (</w:t>
                  </w:r>
                  <w:r w:rsidRPr="0097352E">
                    <w:rPr>
                      <w:rFonts w:cs="Miriam"/>
                      <w:sz w:val="16"/>
                      <w:szCs w:val="16"/>
                    </w:rPr>
                    <w:t>Article IX</w:t>
                  </w:r>
                  <w:r>
                    <w:rPr>
                      <w:rFonts w:cs="Miriam" w:hint="cs"/>
                      <w:sz w:val="18"/>
                      <w:szCs w:val="18"/>
                      <w:rtl/>
                    </w:rPr>
                    <w:t xml:space="preserve">) לנספח להסכם </w:t>
                  </w:r>
                  <w:r>
                    <w:rPr>
                      <w:rFonts w:cs="Miriam"/>
                      <w:sz w:val="18"/>
                      <w:szCs w:val="18"/>
                      <w:rtl/>
                    </w:rPr>
                    <w:t>–</w:t>
                  </w:r>
                  <w:r>
                    <w:rPr>
                      <w:rFonts w:cs="Miriam" w:hint="cs"/>
                      <w:sz w:val="18"/>
                      <w:szCs w:val="18"/>
                      <w:rtl/>
                    </w:rPr>
                    <w:t xml:space="preserve"> זכויות וחסינויות</w:t>
                  </w:r>
                </w:p>
              </w:txbxContent>
            </v:textbox>
            <w10:anchorlock/>
          </v:rect>
        </w:pict>
      </w:r>
      <w:r w:rsidRPr="0097352E">
        <w:rPr>
          <w:rStyle w:val="default"/>
          <w:rFonts w:cs="FrankRuehl"/>
          <w:sz w:val="20"/>
          <w:rtl/>
        </w:rPr>
        <w:t>1.</w:t>
      </w:r>
      <w:r w:rsidRPr="0097352E">
        <w:rPr>
          <w:rStyle w:val="default"/>
          <w:rFonts w:cs="FrankRuehl"/>
          <w:sz w:val="20"/>
          <w:rtl/>
        </w:rPr>
        <w:tab/>
      </w:r>
      <w:r>
        <w:rPr>
          <w:rStyle w:val="default"/>
          <w:rFonts w:cs="FrankRuehl" w:hint="cs"/>
          <w:sz w:val="20"/>
          <w:rtl/>
        </w:rPr>
        <w:t>הממשלה תחיל על הסוכנות, רכושה, כספיה ונכסיה, וכן לפקידיה, בשינוים המחויבים, את הוראות האמנה בדבר זכויות יתר וחסינות לאומות המאוחדות.</w:t>
      </w:r>
    </w:p>
    <w:p w14:paraId="0738E646" w14:textId="77777777" w:rsidR="006903BD" w:rsidRDefault="0097352E">
      <w:pPr>
        <w:pStyle w:val="P00"/>
        <w:spacing w:before="72"/>
        <w:ind w:left="0"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(א)</w:t>
      </w:r>
      <w:r>
        <w:rPr>
          <w:rStyle w:val="default"/>
          <w:rFonts w:cs="FrankRuehl"/>
          <w:sz w:val="20"/>
          <w:rtl/>
        </w:rPr>
        <w:tab/>
      </w:r>
      <w:r>
        <w:rPr>
          <w:rStyle w:val="default"/>
          <w:rFonts w:cs="FrankRuehl" w:hint="cs"/>
          <w:sz w:val="20"/>
          <w:rtl/>
        </w:rPr>
        <w:t>ככל שלא מוסכם אחרת על ידי הצדדים במסמכי פרויקט המתייחסים לפרויקטים ספציפיים, הממשלה תעניק לכל אדם, למעט אזרחי מדינת ישראל או ישויות משפטיות ישראליות המועסקות בישראל, הנותנים שירותים מטעם הסוכנות, אשר אינם מכוסים בסעיף 1, את אותן חסינויות וזכויות יתר שמהן עשויים ליהנות פקידי הסוכנות מתוקף סעיף 1.</w:t>
      </w:r>
    </w:p>
    <w:p w14:paraId="2CE6C14F" w14:textId="77777777" w:rsidR="0097352E" w:rsidRDefault="0097352E">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AF2FDB">
        <w:rPr>
          <w:rStyle w:val="default"/>
          <w:rFonts w:cs="FrankRuehl" w:hint="cs"/>
          <w:sz w:val="20"/>
          <w:rtl/>
        </w:rPr>
        <w:t>לצורך האמנה בדבר זכויות יתר וחסינויות האמורה:</w:t>
      </w:r>
    </w:p>
    <w:p w14:paraId="2B92AECF" w14:textId="77777777" w:rsidR="00AF2FDB" w:rsidRDefault="00AF2FDB" w:rsidP="00AF2FDB">
      <w:pPr>
        <w:pStyle w:val="P00"/>
        <w:spacing w:before="72"/>
        <w:ind w:left="1021" w:right="1134"/>
        <w:rPr>
          <w:rStyle w:val="default"/>
          <w:rFonts w:cs="FrankRuehl"/>
          <w:sz w:val="20"/>
          <w:rtl/>
        </w:rPr>
      </w:pPr>
      <w:r>
        <w:rPr>
          <w:rStyle w:val="default"/>
          <w:rFonts w:cs="FrankRuehl" w:hint="cs"/>
          <w:sz w:val="20"/>
          <w:rtl/>
        </w:rPr>
        <w:lastRenderedPageBreak/>
        <w:t>(1)</w:t>
      </w:r>
      <w:r>
        <w:rPr>
          <w:rStyle w:val="default"/>
          <w:rFonts w:cs="FrankRuehl"/>
          <w:sz w:val="20"/>
          <w:rtl/>
        </w:rPr>
        <w:tab/>
      </w:r>
      <w:r>
        <w:rPr>
          <w:rStyle w:val="default"/>
          <w:rFonts w:cs="FrankRuehl" w:hint="cs"/>
          <w:sz w:val="20"/>
          <w:rtl/>
        </w:rPr>
        <w:t>כל הניירות והמסמכים הנוגעים לפרויקט, הנמצאים בחזקתם או בשליטתם של האנשים הנמנים בסעיף קטן (א), ייחשבו כמסמכים השייכים לסוכנות;</w:t>
      </w:r>
    </w:p>
    <w:p w14:paraId="354911DB" w14:textId="77777777" w:rsidR="00AF2FDB" w:rsidRDefault="00AF2FDB" w:rsidP="00AF2FD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ציוד, חומרים ואספקה המובאים לישראל, או נרכשים או מושכרים על ידי אותם אנשים בשטח ישראל, ייחשבו כרכושה של הסוכנות.</w:t>
      </w:r>
    </w:p>
    <w:p w14:paraId="4F3EC7CD" w14:textId="77777777" w:rsidR="00AF2FDB" w:rsidRPr="00F02DF5" w:rsidRDefault="00AF2FDB">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sz w:val="20"/>
          <w:rtl/>
        </w:rPr>
        <w:tab/>
      </w:r>
      <w:r w:rsidR="00DE4AAC">
        <w:rPr>
          <w:rStyle w:val="default"/>
          <w:rFonts w:cs="FrankRuehl" w:hint="cs"/>
          <w:sz w:val="20"/>
          <w:rtl/>
        </w:rPr>
        <w:t>הביטוי "אנשים הנותנים שירותים", כמצוין בסעיפים 9, 10 ו-13 להסכם זה, מתייחס לאנשים שאינם אזרחי מדינת ישראל, שהם יועצים, וכן ישויות משפטיות או יחידים או עובדיהם; הוא כולל ארגונים ממשלתיים ולא ממשלתיים, או חברות שהסוכנות תשכור, בין אם כגוף מבצע או אחר, וליישם או לסייע בהוצאה לפועל של סיוע הסוכנות לפרויקט, ועובדיהם בכפוף לדין הישראלי; אין באמור בהסכם זה כדי להגביל את זכויות היתר, החסינויות או ההקלות המוענקות לאותם ארגונים או חברות, או לעובדיהם בהתאם להסכם בין-לאומי אחר.</w:t>
      </w:r>
    </w:p>
    <w:p w14:paraId="3683DF60" w14:textId="77777777" w:rsidR="00851F51" w:rsidRDefault="00851F51">
      <w:pPr>
        <w:pStyle w:val="P00"/>
        <w:spacing w:before="72"/>
        <w:ind w:left="0" w:right="1134"/>
        <w:rPr>
          <w:rStyle w:val="default"/>
          <w:rFonts w:cs="FrankRuehl"/>
          <w:rtl/>
        </w:rPr>
      </w:pPr>
    </w:p>
    <w:p w14:paraId="7C1D2436" w14:textId="77777777" w:rsidR="00DE4AAC" w:rsidRPr="00F02DF5" w:rsidRDefault="00DE4AAC" w:rsidP="00DE4AAC">
      <w:pPr>
        <w:pStyle w:val="medium2-header"/>
        <w:keepLines w:val="0"/>
        <w:spacing w:before="72"/>
        <w:ind w:left="0" w:right="1134"/>
        <w:outlineLvl w:val="0"/>
        <w:rPr>
          <w:rFonts w:cs="FrankRuehl" w:hint="cs"/>
          <w:noProof/>
          <w:rtl/>
        </w:rPr>
      </w:pPr>
      <w:bookmarkStart w:id="5" w:name="med1"/>
      <w:bookmarkEnd w:id="5"/>
      <w:r w:rsidRPr="00F02DF5">
        <w:rPr>
          <w:rFonts w:cs="FrankRuehl" w:hint="cs"/>
          <w:noProof/>
          <w:rtl/>
        </w:rPr>
        <w:t>תוספת</w:t>
      </w:r>
      <w:r>
        <w:rPr>
          <w:rFonts w:cs="FrankRuehl" w:hint="cs"/>
          <w:noProof/>
          <w:rtl/>
        </w:rPr>
        <w:t xml:space="preserve"> שנייה</w:t>
      </w:r>
    </w:p>
    <w:p w14:paraId="0503309E" w14:textId="77777777" w:rsidR="00DE4AAC" w:rsidRPr="00F02DF5" w:rsidRDefault="00DE4AAC" w:rsidP="00DE4AAC">
      <w:pPr>
        <w:pStyle w:val="P00"/>
        <w:spacing w:before="72"/>
        <w:ind w:left="0" w:right="1134"/>
        <w:jc w:val="center"/>
        <w:rPr>
          <w:rStyle w:val="default"/>
          <w:rFonts w:cs="FrankRuehl" w:hint="cs"/>
          <w:sz w:val="24"/>
          <w:szCs w:val="24"/>
          <w:rtl/>
        </w:rPr>
      </w:pPr>
      <w:r w:rsidRPr="00F02DF5">
        <w:rPr>
          <w:rStyle w:val="default"/>
          <w:rFonts w:cs="FrankRuehl" w:hint="cs"/>
          <w:sz w:val="24"/>
          <w:szCs w:val="24"/>
          <w:rtl/>
        </w:rPr>
        <w:t>(</w:t>
      </w:r>
      <w:r w:rsidR="009671B9">
        <w:rPr>
          <w:rStyle w:val="default"/>
          <w:rFonts w:cs="FrankRuehl" w:hint="cs"/>
          <w:sz w:val="24"/>
          <w:szCs w:val="24"/>
          <w:rtl/>
        </w:rPr>
        <w:t xml:space="preserve">סעיף </w:t>
      </w:r>
      <w:r>
        <w:rPr>
          <w:rStyle w:val="default"/>
          <w:rFonts w:cs="FrankRuehl" w:hint="cs"/>
          <w:sz w:val="24"/>
          <w:szCs w:val="24"/>
          <w:rtl/>
        </w:rPr>
        <w:t>2(</w:t>
      </w:r>
      <w:r w:rsidR="009671B9">
        <w:rPr>
          <w:rStyle w:val="default"/>
          <w:rFonts w:cs="FrankRuehl" w:hint="cs"/>
          <w:sz w:val="24"/>
          <w:szCs w:val="24"/>
          <w:rtl/>
        </w:rPr>
        <w:t>ב</w:t>
      </w:r>
      <w:r>
        <w:rPr>
          <w:rStyle w:val="default"/>
          <w:rFonts w:cs="FrankRuehl" w:hint="cs"/>
          <w:sz w:val="24"/>
          <w:szCs w:val="24"/>
          <w:rtl/>
        </w:rPr>
        <w:t>)</w:t>
      </w:r>
      <w:r w:rsidRPr="00F02DF5">
        <w:rPr>
          <w:rStyle w:val="default"/>
          <w:rFonts w:cs="FrankRuehl" w:hint="cs"/>
          <w:sz w:val="24"/>
          <w:szCs w:val="24"/>
          <w:rtl/>
        </w:rPr>
        <w:t>)</w:t>
      </w:r>
    </w:p>
    <w:p w14:paraId="666CE0C2" w14:textId="77777777" w:rsidR="00DE4AAC" w:rsidRPr="00F02DF5" w:rsidRDefault="009671B9" w:rsidP="00DE4AAC">
      <w:pPr>
        <w:pStyle w:val="P00"/>
        <w:spacing w:before="72"/>
        <w:ind w:left="0" w:right="1134"/>
        <w:jc w:val="center"/>
        <w:rPr>
          <w:rStyle w:val="default"/>
          <w:rFonts w:cs="FrankRuehl" w:hint="cs"/>
          <w:b/>
          <w:bCs/>
          <w:sz w:val="18"/>
          <w:szCs w:val="22"/>
          <w:rtl/>
        </w:rPr>
      </w:pPr>
      <w:r>
        <w:rPr>
          <w:rStyle w:val="default"/>
          <w:rFonts w:cs="FrankRuehl" w:hint="cs"/>
          <w:b/>
          <w:bCs/>
          <w:sz w:val="18"/>
          <w:szCs w:val="22"/>
          <w:rtl/>
        </w:rPr>
        <w:t>ההסכם בדבר חסינויות וזכויות יתר של הסוכנות הבין-לאומית לאנרגיה אטומית</w:t>
      </w:r>
    </w:p>
    <w:p w14:paraId="79F757A0" w14:textId="77777777" w:rsidR="009671B9" w:rsidRDefault="009671B9" w:rsidP="009671B9">
      <w:pPr>
        <w:pStyle w:val="P00"/>
        <w:spacing w:before="72"/>
        <w:ind w:left="0" w:right="1134"/>
        <w:rPr>
          <w:rStyle w:val="default"/>
          <w:rFonts w:cs="FrankRuehl" w:hint="cs"/>
          <w:sz w:val="20"/>
          <w:rtl/>
        </w:rPr>
      </w:pPr>
      <w:r w:rsidRPr="0097352E">
        <w:rPr>
          <w:rStyle w:val="default"/>
          <w:rFonts w:cs="FrankRuehl"/>
          <w:sz w:val="20"/>
        </w:rPr>
        <w:pict w14:anchorId="19FC481A">
          <v:rect id="_x0000_s1216" style="position:absolute;left:0;text-align:left;margin-left:464.35pt;margin-top:7.1pt;width:75.05pt;height:36.15pt;z-index:251659776" o:allowincell="f" filled="f" stroked="f" strokecolor="lime" strokeweight=".25pt">
            <v:textbox style="mso-next-textbox:#_x0000_s1216" inset="0,0,0,0">
              <w:txbxContent>
                <w:p w14:paraId="442EB19E" w14:textId="77777777" w:rsidR="009671B9" w:rsidRDefault="009671B9" w:rsidP="009671B9">
                  <w:pPr>
                    <w:spacing w:line="160" w:lineRule="exact"/>
                    <w:rPr>
                      <w:rFonts w:cs="Miriam" w:hint="cs"/>
                      <w:noProof/>
                      <w:sz w:val="18"/>
                      <w:szCs w:val="18"/>
                      <w:rtl/>
                    </w:rPr>
                  </w:pPr>
                  <w:r>
                    <w:rPr>
                      <w:rFonts w:cs="Miriam" w:hint="cs"/>
                      <w:sz w:val="18"/>
                      <w:szCs w:val="18"/>
                      <w:rtl/>
                    </w:rPr>
                    <w:t>סעיף 7 (</w:t>
                  </w:r>
                  <w:r w:rsidRPr="0097352E">
                    <w:rPr>
                      <w:rFonts w:cs="Miriam"/>
                      <w:sz w:val="16"/>
                      <w:szCs w:val="16"/>
                    </w:rPr>
                    <w:t xml:space="preserve">Article </w:t>
                  </w:r>
                  <w:r>
                    <w:rPr>
                      <w:rFonts w:cs="Miriam"/>
                      <w:sz w:val="16"/>
                      <w:szCs w:val="16"/>
                    </w:rPr>
                    <w:t>VII</w:t>
                  </w:r>
                  <w:r>
                    <w:rPr>
                      <w:rFonts w:cs="Miriam" w:hint="cs"/>
                      <w:sz w:val="18"/>
                      <w:szCs w:val="18"/>
                      <w:rtl/>
                    </w:rPr>
                    <w:t xml:space="preserve">) להסכם </w:t>
                  </w:r>
                  <w:r>
                    <w:rPr>
                      <w:rFonts w:cs="Miriam"/>
                      <w:sz w:val="18"/>
                      <w:szCs w:val="18"/>
                      <w:rtl/>
                    </w:rPr>
                    <w:t>–</w:t>
                  </w:r>
                  <w:r>
                    <w:rPr>
                      <w:rFonts w:cs="Miriam" w:hint="cs"/>
                      <w:sz w:val="18"/>
                      <w:szCs w:val="18"/>
                      <w:rtl/>
                    </w:rPr>
                    <w:t xml:space="preserve"> מומחים בשליחות מטעם הסוכנות</w:t>
                  </w:r>
                </w:p>
              </w:txbxContent>
            </v:textbox>
            <w10:anchorlock/>
          </v:rect>
        </w:pict>
      </w:r>
      <w:r>
        <w:rPr>
          <w:rStyle w:val="default"/>
          <w:rFonts w:cs="FrankRuehl" w:hint="cs"/>
          <w:sz w:val="20"/>
          <w:rtl/>
        </w:rPr>
        <w:t>מומחים, שאינם פקידים כהגדרתם בסעיף 6, המשרתים בוועדות הסוכנות או המבצעים משימות או שליחויות עבור הסוכנות, לרבות משימות כפקחים תחת סעיף 12 לתקנון הסוכנות וכבוחני פרויקט תחת סעיף 11, ייהנו מחסינויות ומזכויות היתר הבאות, ככל שהדבר נדרש לצורך ביצוע מועיל של תפקידיהם, לרבות בעת נסיעותיהם הקשורות לשירותם בוועדות אלו או לשליחויות:</w:t>
      </w:r>
    </w:p>
    <w:p w14:paraId="20E99D92" w14:textId="77777777" w:rsidR="00851F51" w:rsidRDefault="009671B9">
      <w:pPr>
        <w:pStyle w:val="P00"/>
        <w:spacing w:before="72"/>
        <w:ind w:left="0"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חסינות מפני מאסר או מעצר אישי ומפני תפיסת מטענם הפרטי;</w:t>
      </w:r>
    </w:p>
    <w:p w14:paraId="3D4EBB09" w14:textId="77777777" w:rsidR="00851F51" w:rsidRDefault="009671B9">
      <w:pPr>
        <w:pStyle w:val="P00"/>
        <w:spacing w:before="72"/>
        <w:ind w:left="0"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חסינות מפני כל פעולה משפטית על כל ביטוי שבעל פה או שבכתב ועל כל מעשה שעשו במסגתר מילוי תפקידם הרשמי. חסינות זו תמשיך לחול ללא תלות בסיום תפקידו של אותו אדם בוועדה, או סיום העסקתו במשימה עבור הסוכנות;</w:t>
      </w:r>
    </w:p>
    <w:p w14:paraId="106A2FAC" w14:textId="77777777" w:rsidR="009671B9" w:rsidRDefault="009671B9">
      <w:pPr>
        <w:pStyle w:val="P00"/>
        <w:spacing w:before="72"/>
        <w:ind w:left="0"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אי פגיעות ביחס לכל המסמכים והניירות;</w:t>
      </w:r>
    </w:p>
    <w:p w14:paraId="54B3A66F" w14:textId="77777777" w:rsidR="009671B9" w:rsidRDefault="009671B9">
      <w:pPr>
        <w:pStyle w:val="P00"/>
        <w:spacing w:before="72"/>
        <w:ind w:left="0"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למטרת התקשרות עם הסוכנות, הזכות להשתמש בסיסמאות ולקבל ניירות ותכתובות על ידי בלדר או בשיקים חתומים;</w:t>
      </w:r>
    </w:p>
    <w:p w14:paraId="0B04DF12" w14:textId="77777777" w:rsidR="009671B9" w:rsidRDefault="009671B9">
      <w:pPr>
        <w:pStyle w:val="P00"/>
        <w:spacing w:before="72"/>
        <w:ind w:left="0"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ההקלות הניתנות לנציגי ממשלות זרות הפועלים בשליחות רשמית זמנית לגבי הגבלות בענייני מטבע או חליפין;</w:t>
      </w:r>
    </w:p>
    <w:p w14:paraId="54EE7AD9" w14:textId="77777777" w:rsidR="009671B9" w:rsidRDefault="009671B9">
      <w:pPr>
        <w:pStyle w:val="P00"/>
        <w:spacing w:before="72"/>
        <w:ind w:left="0" w:right="1134"/>
        <w:rPr>
          <w:rStyle w:val="default"/>
          <w:rFonts w:cs="FrankRuehl" w:hint="cs"/>
          <w:rtl/>
        </w:rPr>
      </w:pPr>
      <w:r>
        <w:rPr>
          <w:rStyle w:val="default"/>
          <w:rFonts w:cs="FrankRuehl" w:hint="cs"/>
          <w:rtl/>
        </w:rPr>
        <w:t>(ו)</w:t>
      </w:r>
      <w:r>
        <w:rPr>
          <w:rStyle w:val="default"/>
          <w:rFonts w:cs="FrankRuehl"/>
          <w:rtl/>
        </w:rPr>
        <w:tab/>
      </w:r>
      <w:r>
        <w:rPr>
          <w:rStyle w:val="default"/>
          <w:rFonts w:cs="FrankRuehl" w:hint="cs"/>
          <w:rtl/>
        </w:rPr>
        <w:t>החסינויות וההקלות בהקשר למטענם הפרטי, כפי שניתנו לחברי משלחות דיפלומטיות באותה הדרגה.</w:t>
      </w:r>
    </w:p>
    <w:p w14:paraId="5BEBB158" w14:textId="77777777" w:rsidR="00851F51" w:rsidRDefault="00851F51">
      <w:pPr>
        <w:pStyle w:val="P00"/>
        <w:spacing w:before="72"/>
        <w:ind w:left="0" w:right="1134"/>
        <w:rPr>
          <w:rStyle w:val="default"/>
          <w:rFonts w:cs="FrankRuehl" w:hint="cs"/>
          <w:rtl/>
        </w:rPr>
      </w:pPr>
    </w:p>
    <w:p w14:paraId="7BFF66FD" w14:textId="77777777" w:rsidR="00332489" w:rsidRDefault="00332489">
      <w:pPr>
        <w:pStyle w:val="P00"/>
        <w:spacing w:before="72"/>
        <w:ind w:left="0" w:right="1134"/>
        <w:rPr>
          <w:rStyle w:val="default"/>
          <w:rFonts w:cs="FrankRuehl" w:hint="cs"/>
          <w:rtl/>
        </w:rPr>
      </w:pPr>
    </w:p>
    <w:p w14:paraId="101EF8F1" w14:textId="77777777" w:rsidR="00332489" w:rsidRPr="003A51C3" w:rsidRDefault="009671B9" w:rsidP="003A51C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ט"ו בטבת התשפ"א (3 בינואר 2021</w:t>
      </w:r>
      <w:r w:rsidR="00332489" w:rsidRPr="003A51C3">
        <w:rPr>
          <w:rStyle w:val="default"/>
          <w:rFonts w:cs="FrankRuehl" w:hint="cs"/>
          <w:rtl/>
        </w:rPr>
        <w:t>)</w:t>
      </w:r>
      <w:r w:rsidR="00332489" w:rsidRPr="003A51C3">
        <w:rPr>
          <w:rFonts w:cs="FrankRuehl" w:hint="cs"/>
          <w:rtl/>
        </w:rPr>
        <w:tab/>
      </w:r>
      <w:r>
        <w:rPr>
          <w:rFonts w:cs="FrankRuehl" w:hint="cs"/>
          <w:rtl/>
        </w:rPr>
        <w:t>גבי אשכנזי</w:t>
      </w:r>
    </w:p>
    <w:p w14:paraId="0F40E0F0" w14:textId="77777777" w:rsidR="00332489" w:rsidRDefault="00332489" w:rsidP="003A51C3">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החוץ</w:t>
      </w:r>
    </w:p>
    <w:p w14:paraId="4702112F" w14:textId="77777777" w:rsidR="000A7945" w:rsidRPr="00A50B0B" w:rsidRDefault="000A7945" w:rsidP="00A50B0B">
      <w:pPr>
        <w:pStyle w:val="P00"/>
        <w:spacing w:before="72"/>
        <w:ind w:left="0" w:right="1134"/>
        <w:rPr>
          <w:rStyle w:val="default"/>
          <w:rFonts w:cs="FrankRuehl" w:hint="cs"/>
          <w:rtl/>
        </w:rPr>
      </w:pPr>
    </w:p>
    <w:p w14:paraId="355A022E" w14:textId="77777777" w:rsidR="00C03DFF" w:rsidRPr="00A50B0B" w:rsidRDefault="00C03DFF" w:rsidP="00A50B0B">
      <w:pPr>
        <w:pStyle w:val="P00"/>
        <w:spacing w:before="72"/>
        <w:ind w:left="0" w:right="1134"/>
        <w:rPr>
          <w:rStyle w:val="default"/>
          <w:rFonts w:cs="FrankRuehl"/>
          <w:rtl/>
        </w:rPr>
      </w:pPr>
    </w:p>
    <w:p w14:paraId="59126AD6" w14:textId="77777777" w:rsidR="00945247" w:rsidRDefault="00945247" w:rsidP="00A50B0B">
      <w:pPr>
        <w:pStyle w:val="P00"/>
        <w:spacing w:before="72"/>
        <w:ind w:left="0" w:right="1134"/>
        <w:rPr>
          <w:rStyle w:val="default"/>
          <w:rFonts w:cs="FrankRuehl"/>
          <w:rtl/>
        </w:rPr>
      </w:pPr>
    </w:p>
    <w:p w14:paraId="32998290" w14:textId="77777777" w:rsidR="00945247" w:rsidRDefault="00945247" w:rsidP="00A50B0B">
      <w:pPr>
        <w:pStyle w:val="P00"/>
        <w:spacing w:before="72"/>
        <w:ind w:left="0" w:right="1134"/>
        <w:rPr>
          <w:rStyle w:val="default"/>
          <w:rFonts w:cs="FrankRuehl"/>
          <w:rtl/>
        </w:rPr>
      </w:pPr>
    </w:p>
    <w:p w14:paraId="46329A97" w14:textId="77777777" w:rsidR="00945247" w:rsidRDefault="00945247" w:rsidP="00945247">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1E616940" w14:textId="77777777" w:rsidR="00C03DFF" w:rsidRPr="00945247" w:rsidRDefault="00C03DFF" w:rsidP="00945247">
      <w:pPr>
        <w:pStyle w:val="P00"/>
        <w:spacing w:before="72"/>
        <w:ind w:left="0" w:right="1134"/>
        <w:jc w:val="center"/>
        <w:rPr>
          <w:rStyle w:val="default"/>
          <w:rFonts w:cs="David"/>
          <w:color w:val="0000FF"/>
          <w:szCs w:val="24"/>
          <w:u w:val="single"/>
          <w:rtl/>
        </w:rPr>
      </w:pPr>
    </w:p>
    <w:sectPr w:rsidR="00C03DFF" w:rsidRPr="0094524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8AB57" w14:textId="77777777" w:rsidR="009A1C24" w:rsidRDefault="009A1C24">
      <w:r>
        <w:separator/>
      </w:r>
    </w:p>
  </w:endnote>
  <w:endnote w:type="continuationSeparator" w:id="0">
    <w:p w14:paraId="75E14916" w14:textId="77777777" w:rsidR="009A1C24" w:rsidRDefault="009A1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19CD" w14:textId="77777777" w:rsidR="003A5FFE" w:rsidRDefault="003A5FF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083A0B7" w14:textId="77777777" w:rsidR="003A5FFE" w:rsidRDefault="003A5F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B9851E" w14:textId="77777777" w:rsidR="003A5FFE" w:rsidRDefault="003A5F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3DFF">
      <w:rPr>
        <w:rFonts w:cs="TopType Jerushalmi"/>
        <w:noProof/>
        <w:color w:val="000000"/>
        <w:sz w:val="14"/>
        <w:szCs w:val="14"/>
      </w:rPr>
      <w:t>Z:\000-law\yael\2012\2012-08-28\tav\500_758.doc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2E0F" w14:textId="77777777" w:rsidR="003A5FFE" w:rsidRDefault="003A5FF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45247">
      <w:rPr>
        <w:rFonts w:hAnsi="FrankRuehl" w:cs="FrankRuehl"/>
        <w:noProof/>
        <w:sz w:val="24"/>
        <w:szCs w:val="24"/>
        <w:rtl/>
      </w:rPr>
      <w:t>3</w:t>
    </w:r>
    <w:r>
      <w:rPr>
        <w:rFonts w:hAnsi="FrankRuehl" w:cs="FrankRuehl"/>
        <w:sz w:val="24"/>
        <w:szCs w:val="24"/>
        <w:rtl/>
      </w:rPr>
      <w:fldChar w:fldCharType="end"/>
    </w:r>
  </w:p>
  <w:p w14:paraId="1B63E253" w14:textId="77777777" w:rsidR="003A5FFE" w:rsidRDefault="003A5F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EE3AB4" w14:textId="77777777" w:rsidR="003A5FFE" w:rsidRDefault="003A5F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3DFF">
      <w:rPr>
        <w:rFonts w:cs="TopType Jerushalmi"/>
        <w:noProof/>
        <w:color w:val="000000"/>
        <w:sz w:val="14"/>
        <w:szCs w:val="14"/>
      </w:rPr>
      <w:t>Z:\000-law\yael\2012\2012-08-28\tav\500_758.doc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6BE85" w14:textId="77777777" w:rsidR="009A1C24" w:rsidRDefault="009A1C24">
      <w:r>
        <w:separator/>
      </w:r>
    </w:p>
  </w:footnote>
  <w:footnote w:type="continuationSeparator" w:id="0">
    <w:p w14:paraId="343705D2" w14:textId="77777777" w:rsidR="009A1C24" w:rsidRDefault="009A1C24">
      <w:r>
        <w:continuationSeparator/>
      </w:r>
    </w:p>
  </w:footnote>
  <w:footnote w:id="1">
    <w:p w14:paraId="370CFFD6" w14:textId="77777777" w:rsidR="00846310" w:rsidRDefault="003A5FFE" w:rsidP="008463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w:t>
      </w:r>
      <w:r w:rsidRPr="006903BD">
        <w:rPr>
          <w:rFonts w:cs="FrankRuehl" w:hint="cs"/>
          <w:rtl/>
        </w:rPr>
        <w:t xml:space="preserve"> </w:t>
      </w:r>
      <w:hyperlink r:id="rId1" w:history="1">
        <w:r w:rsidRPr="00846310">
          <w:rPr>
            <w:rStyle w:val="Hyperlink"/>
            <w:rFonts w:cs="FrankRuehl" w:hint="cs"/>
            <w:rtl/>
          </w:rPr>
          <w:t>ק"ת תש</w:t>
        </w:r>
        <w:r w:rsidR="00851F51" w:rsidRPr="00846310">
          <w:rPr>
            <w:rStyle w:val="Hyperlink"/>
            <w:rFonts w:cs="FrankRuehl" w:hint="cs"/>
            <w:rtl/>
          </w:rPr>
          <w:t>פ"א</w:t>
        </w:r>
        <w:r w:rsidRPr="00846310">
          <w:rPr>
            <w:rStyle w:val="Hyperlink"/>
            <w:rFonts w:cs="FrankRuehl" w:hint="cs"/>
            <w:rtl/>
          </w:rPr>
          <w:t xml:space="preserve"> מס' </w:t>
        </w:r>
        <w:r w:rsidR="00851F51" w:rsidRPr="00846310">
          <w:rPr>
            <w:rStyle w:val="Hyperlink"/>
            <w:rFonts w:cs="FrankRuehl" w:hint="cs"/>
            <w:rtl/>
          </w:rPr>
          <w:t>9085</w:t>
        </w:r>
      </w:hyperlink>
      <w:r>
        <w:rPr>
          <w:rFonts w:cs="FrankRuehl" w:hint="cs"/>
          <w:rtl/>
        </w:rPr>
        <w:t xml:space="preserve"> מיום </w:t>
      </w:r>
      <w:r w:rsidR="00851F51">
        <w:rPr>
          <w:rFonts w:cs="FrankRuehl" w:hint="cs"/>
          <w:rtl/>
        </w:rPr>
        <w:t>12.1.2021</w:t>
      </w:r>
      <w:r>
        <w:rPr>
          <w:rFonts w:cs="FrankRuehl" w:hint="cs"/>
          <w:rtl/>
        </w:rPr>
        <w:t xml:space="preserve"> עמ' </w:t>
      </w:r>
      <w:r w:rsidR="00851F51">
        <w:rPr>
          <w:rFonts w:cs="FrankRuehl" w:hint="cs"/>
          <w:rtl/>
        </w:rPr>
        <w:t>1512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FFC7" w14:textId="77777777" w:rsidR="003A5FFE" w:rsidRDefault="003A5FF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AA6324A"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E3EED1"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B933" w14:textId="77777777" w:rsidR="003A5FFE" w:rsidRDefault="003A5FFE" w:rsidP="006903B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חסינויות וזכויות יתר (ארגונים בין-לאומיים ומשלחות מיוחדות) (</w:t>
    </w:r>
    <w:r w:rsidR="00851F51">
      <w:rPr>
        <w:rFonts w:hAnsi="FrankRuehl" w:cs="FrankRuehl" w:hint="cs"/>
        <w:color w:val="000000"/>
        <w:sz w:val="28"/>
        <w:szCs w:val="28"/>
        <w:rtl/>
      </w:rPr>
      <w:t xml:space="preserve">הסוכנות </w:t>
    </w:r>
    <w:r w:rsidR="00851F51">
      <w:rPr>
        <w:rFonts w:hAnsi="FrankRuehl" w:cs="FrankRuehl"/>
        <w:color w:val="000000"/>
        <w:sz w:val="28"/>
        <w:szCs w:val="28"/>
        <w:rtl/>
      </w:rPr>
      <w:br/>
    </w:r>
    <w:r w:rsidR="00851F51">
      <w:rPr>
        <w:rFonts w:hAnsi="FrankRuehl" w:cs="FrankRuehl" w:hint="cs"/>
        <w:color w:val="000000"/>
        <w:sz w:val="28"/>
        <w:szCs w:val="28"/>
        <w:rtl/>
      </w:rPr>
      <w:t>הבין-לאומית לאנרגיה אטומית), תשפ"א-2021</w:t>
    </w:r>
  </w:p>
  <w:p w14:paraId="694DB264"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C19080"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26457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5261"/>
    <w:rsid w:val="00065DED"/>
    <w:rsid w:val="000A7945"/>
    <w:rsid w:val="000E5A3E"/>
    <w:rsid w:val="00140DFB"/>
    <w:rsid w:val="00166BC7"/>
    <w:rsid w:val="00271466"/>
    <w:rsid w:val="00332489"/>
    <w:rsid w:val="003A51C3"/>
    <w:rsid w:val="003A5FFE"/>
    <w:rsid w:val="003F2972"/>
    <w:rsid w:val="005152AC"/>
    <w:rsid w:val="005364A8"/>
    <w:rsid w:val="00591EFB"/>
    <w:rsid w:val="00674A6C"/>
    <w:rsid w:val="00675973"/>
    <w:rsid w:val="006903BD"/>
    <w:rsid w:val="0070119F"/>
    <w:rsid w:val="007D4A67"/>
    <w:rsid w:val="00846310"/>
    <w:rsid w:val="00851F51"/>
    <w:rsid w:val="00945247"/>
    <w:rsid w:val="00957602"/>
    <w:rsid w:val="009671B9"/>
    <w:rsid w:val="0097352E"/>
    <w:rsid w:val="009A1C24"/>
    <w:rsid w:val="009D2C88"/>
    <w:rsid w:val="00A50B0B"/>
    <w:rsid w:val="00AA4E14"/>
    <w:rsid w:val="00AF0A70"/>
    <w:rsid w:val="00AF2FDB"/>
    <w:rsid w:val="00AF5261"/>
    <w:rsid w:val="00B43AE0"/>
    <w:rsid w:val="00B46641"/>
    <w:rsid w:val="00BB79CF"/>
    <w:rsid w:val="00C03DFF"/>
    <w:rsid w:val="00C921A4"/>
    <w:rsid w:val="00D812C1"/>
    <w:rsid w:val="00DE4AAC"/>
    <w:rsid w:val="00E00D26"/>
    <w:rsid w:val="00E147F9"/>
    <w:rsid w:val="00E426EA"/>
    <w:rsid w:val="00EC6812"/>
    <w:rsid w:val="00EE0583"/>
    <w:rsid w:val="00F02D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BDF6C88"/>
  <w15:chartTrackingRefBased/>
  <w15:docId w15:val="{90301176-C382-4465-91CB-52ACA0D7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0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5127</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7536659</vt:i4>
      </vt:variant>
      <vt:variant>
        <vt:i4>0</vt:i4>
      </vt:variant>
      <vt:variant>
        <vt:i4>0</vt:i4>
      </vt:variant>
      <vt:variant>
        <vt:i4>5</vt:i4>
      </vt:variant>
      <vt:variant>
        <vt:lpwstr>https://www.nevo.co.il/law_word/law06/tak-9085.pdf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חסינויות וזכויות יתר (ארגונים בין-לאומיים ומשלחות מיוחדות) (הסוכנות הבין-לאומית לאנרגיה אטומית), תשפ"א-2021</vt:lpwstr>
  </property>
  <property fmtid="{D5CDD505-2E9C-101B-9397-08002B2CF9AE}" pid="4" name="LAWNUMBER">
    <vt:lpwstr>0440</vt:lpwstr>
  </property>
  <property fmtid="{D5CDD505-2E9C-101B-9397-08002B2CF9AE}" pid="5" name="TYPE">
    <vt:lpwstr>01</vt:lpwstr>
  </property>
  <property fmtid="{D5CDD505-2E9C-101B-9397-08002B2CF9AE}" pid="6" name="CHNAME">
    <vt:lpwstr>חסינויות וזכויות יתר</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משפט בינ"ל פומבי</vt:lpwstr>
  </property>
  <property fmtid="{D5CDD505-2E9C-101B-9397-08002B2CF9AE}" pid="22" name="NOSE21">
    <vt:lpwstr>ארגונים בין-לאומיים</vt:lpwstr>
  </property>
  <property fmtid="{D5CDD505-2E9C-101B-9397-08002B2CF9AE}" pid="23" name="NOSE31">
    <vt:lpwstr>חסינויות וזכויות</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מדע</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חסינויות וזכויות יתר (ארגונים בין-לאומיים ומשלחות מיוחדות), תשמ"ג-1983</vt:lpwstr>
  </property>
  <property fmtid="{D5CDD505-2E9C-101B-9397-08002B2CF9AE}" pid="62" name="MEKOR_SAIF1">
    <vt:lpwstr>2X</vt:lpwstr>
  </property>
  <property fmtid="{D5CDD505-2E9C-101B-9397-08002B2CF9AE}" pid="63" name="MEKORSAMCHUT">
    <vt:lpwstr/>
  </property>
  <property fmtid="{D5CDD505-2E9C-101B-9397-08002B2CF9AE}" pid="64" name="MEKOR_LAWID1">
    <vt:lpwstr>72024</vt:lpwstr>
  </property>
  <property fmtid="{D5CDD505-2E9C-101B-9397-08002B2CF9AE}" pid="65" name="LINKK1">
    <vt:lpwstr>https://www.nevo.co.il/law_word/law06/tak-9085.pdf;‎רשומות - תקנות כלליות#פורסם ק"ת תשפ"א ‏מס' 9085 #מיום 12.1.2021 עמ' 1512‏</vt:lpwstr>
  </property>
</Properties>
</file>