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2D98" w14:textId="77777777" w:rsidR="00332489" w:rsidRPr="00A063DF" w:rsidRDefault="00332489" w:rsidP="006903BD">
      <w:pPr>
        <w:pStyle w:val="big-header"/>
        <w:ind w:left="0" w:right="1134"/>
        <w:rPr>
          <w:rFonts w:cs="FrankRuehl" w:hint="cs"/>
          <w:sz w:val="24"/>
          <w:rtl/>
        </w:rPr>
      </w:pPr>
      <w:r w:rsidRPr="00A063DF">
        <w:rPr>
          <w:rFonts w:cs="FrankRuehl" w:hint="cs"/>
          <w:sz w:val="24"/>
          <w:rtl/>
        </w:rPr>
        <w:t xml:space="preserve">צו חסינויות וזכויות יתר (ארגונים בין-לאומיים ומשלחות מיוחדות) </w:t>
      </w:r>
      <w:r w:rsidR="0050631B">
        <w:rPr>
          <w:rFonts w:cs="FrankRuehl"/>
          <w:sz w:val="24"/>
          <w:rtl/>
        </w:rPr>
        <w:br/>
      </w:r>
      <w:r w:rsidRPr="00A063DF">
        <w:rPr>
          <w:rFonts w:cs="FrankRuehl" w:hint="cs"/>
          <w:sz w:val="24"/>
          <w:rtl/>
        </w:rPr>
        <w:t>(</w:t>
      </w:r>
      <w:r w:rsidR="0050631B">
        <w:rPr>
          <w:rFonts w:cs="FrankRuehl"/>
          <w:sz w:val="24"/>
        </w:rPr>
        <w:t>SHARE-ERIC</w:t>
      </w:r>
      <w:r w:rsidR="006903BD" w:rsidRPr="00A063DF">
        <w:rPr>
          <w:rFonts w:cs="FrankRuehl" w:hint="cs"/>
          <w:sz w:val="24"/>
          <w:rtl/>
        </w:rPr>
        <w:t>), תש</w:t>
      </w:r>
      <w:r w:rsidR="0050631B">
        <w:rPr>
          <w:rFonts w:cs="FrankRuehl" w:hint="cs"/>
          <w:sz w:val="24"/>
          <w:rtl/>
        </w:rPr>
        <w:t>"ף</w:t>
      </w:r>
      <w:r w:rsidR="006903BD" w:rsidRPr="00A063DF">
        <w:rPr>
          <w:rFonts w:cs="FrankRuehl" w:hint="cs"/>
          <w:sz w:val="24"/>
          <w:rtl/>
        </w:rPr>
        <w:t>-201</w:t>
      </w:r>
      <w:r w:rsidR="00A063DF" w:rsidRPr="00A063DF">
        <w:rPr>
          <w:rFonts w:cs="FrankRuehl" w:hint="cs"/>
          <w:sz w:val="24"/>
          <w:rtl/>
        </w:rPr>
        <w:t>9</w:t>
      </w:r>
    </w:p>
    <w:p w14:paraId="27D2E60E" w14:textId="77777777" w:rsidR="006903BD" w:rsidRPr="006903BD" w:rsidRDefault="006903BD" w:rsidP="006903BD">
      <w:pPr>
        <w:spacing w:line="320" w:lineRule="auto"/>
        <w:rPr>
          <w:rFonts w:cs="FrankRuehl"/>
          <w:szCs w:val="26"/>
          <w:rtl/>
        </w:rPr>
      </w:pPr>
    </w:p>
    <w:p w14:paraId="60D065A6" w14:textId="77777777" w:rsidR="006903BD" w:rsidRDefault="006903BD" w:rsidP="006903BD">
      <w:pPr>
        <w:spacing w:line="320" w:lineRule="auto"/>
        <w:rPr>
          <w:rtl/>
        </w:rPr>
      </w:pPr>
    </w:p>
    <w:p w14:paraId="35D884D8" w14:textId="77777777" w:rsidR="006903BD" w:rsidRDefault="006903BD" w:rsidP="006903BD">
      <w:pPr>
        <w:spacing w:line="320" w:lineRule="auto"/>
        <w:rPr>
          <w:rFonts w:cs="Miriam"/>
          <w:szCs w:val="22"/>
          <w:rtl/>
        </w:rPr>
      </w:pPr>
      <w:r w:rsidRPr="006903BD">
        <w:rPr>
          <w:rFonts w:cs="Miriam"/>
          <w:szCs w:val="22"/>
          <w:rtl/>
        </w:rPr>
        <w:t>משפט בינ"ל פומבי</w:t>
      </w:r>
      <w:r w:rsidRPr="006903BD">
        <w:rPr>
          <w:rFonts w:cs="FrankRuehl"/>
          <w:szCs w:val="26"/>
          <w:rtl/>
        </w:rPr>
        <w:t xml:space="preserve"> – ארגונים בין-לאומיים – חסינויות וזכויות</w:t>
      </w:r>
    </w:p>
    <w:p w14:paraId="4E6D2FC1" w14:textId="77777777" w:rsidR="00332489" w:rsidRDefault="003324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6119" w:rsidRPr="00566119" w14:paraId="540FC3A7" w14:textId="77777777" w:rsidTr="00566119">
        <w:tblPrEx>
          <w:tblCellMar>
            <w:top w:w="0" w:type="dxa"/>
            <w:bottom w:w="0" w:type="dxa"/>
          </w:tblCellMar>
        </w:tblPrEx>
        <w:tc>
          <w:tcPr>
            <w:tcW w:w="1247" w:type="dxa"/>
          </w:tcPr>
          <w:p w14:paraId="4DCDDE6C" w14:textId="77777777" w:rsidR="00566119" w:rsidRPr="00566119" w:rsidRDefault="00566119" w:rsidP="00566119">
            <w:pPr>
              <w:rPr>
                <w:rFonts w:cs="Frankruhel" w:hint="cs"/>
                <w:rtl/>
              </w:rPr>
            </w:pPr>
            <w:r>
              <w:rPr>
                <w:rtl/>
              </w:rPr>
              <w:t xml:space="preserve">סעיף 1 </w:t>
            </w:r>
          </w:p>
        </w:tc>
        <w:tc>
          <w:tcPr>
            <w:tcW w:w="5669" w:type="dxa"/>
          </w:tcPr>
          <w:p w14:paraId="6DDAB0DF" w14:textId="77777777" w:rsidR="00566119" w:rsidRPr="00566119" w:rsidRDefault="00566119" w:rsidP="00566119">
            <w:pPr>
              <w:rPr>
                <w:rFonts w:cs="Frankruhel" w:hint="cs"/>
                <w:rtl/>
              </w:rPr>
            </w:pPr>
            <w:r>
              <w:rPr>
                <w:rtl/>
              </w:rPr>
              <w:t>הגדרה</w:t>
            </w:r>
          </w:p>
        </w:tc>
        <w:tc>
          <w:tcPr>
            <w:tcW w:w="567" w:type="dxa"/>
          </w:tcPr>
          <w:p w14:paraId="79C03A78" w14:textId="77777777" w:rsidR="00566119" w:rsidRPr="00566119" w:rsidRDefault="00566119" w:rsidP="00566119">
            <w:pPr>
              <w:rPr>
                <w:rStyle w:val="Hyperlink"/>
                <w:rFonts w:hint="cs"/>
                <w:rtl/>
              </w:rPr>
            </w:pPr>
            <w:hyperlink w:anchor="Seif1" w:tooltip="הגדרה" w:history="1">
              <w:r w:rsidRPr="00566119">
                <w:rPr>
                  <w:rStyle w:val="Hyperlink"/>
                </w:rPr>
                <w:t>Go</w:t>
              </w:r>
            </w:hyperlink>
          </w:p>
        </w:tc>
        <w:tc>
          <w:tcPr>
            <w:tcW w:w="850" w:type="dxa"/>
          </w:tcPr>
          <w:p w14:paraId="5E8FF751" w14:textId="77777777" w:rsidR="00566119" w:rsidRPr="00566119" w:rsidRDefault="00566119" w:rsidP="005661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66119" w:rsidRPr="00566119" w14:paraId="28719FA1" w14:textId="77777777" w:rsidTr="00566119">
        <w:tblPrEx>
          <w:tblCellMar>
            <w:top w:w="0" w:type="dxa"/>
            <w:bottom w:w="0" w:type="dxa"/>
          </w:tblCellMar>
        </w:tblPrEx>
        <w:tc>
          <w:tcPr>
            <w:tcW w:w="1247" w:type="dxa"/>
          </w:tcPr>
          <w:p w14:paraId="7BD1C6B7" w14:textId="77777777" w:rsidR="00566119" w:rsidRPr="00566119" w:rsidRDefault="00566119" w:rsidP="00566119">
            <w:pPr>
              <w:rPr>
                <w:rFonts w:cs="Frankruhel" w:hint="cs"/>
                <w:rtl/>
              </w:rPr>
            </w:pPr>
            <w:r>
              <w:rPr>
                <w:rtl/>
              </w:rPr>
              <w:t xml:space="preserve">סעיף 2 </w:t>
            </w:r>
          </w:p>
        </w:tc>
        <w:tc>
          <w:tcPr>
            <w:tcW w:w="5669" w:type="dxa"/>
          </w:tcPr>
          <w:p w14:paraId="39C14DA5" w14:textId="77777777" w:rsidR="00566119" w:rsidRPr="00566119" w:rsidRDefault="00566119" w:rsidP="00566119">
            <w:pPr>
              <w:rPr>
                <w:rFonts w:cs="Frankruhel" w:hint="cs"/>
                <w:rtl/>
              </w:rPr>
            </w:pPr>
            <w:r>
              <w:rPr>
                <w:rtl/>
              </w:rPr>
              <w:t>זכויות יתר</w:t>
            </w:r>
          </w:p>
        </w:tc>
        <w:tc>
          <w:tcPr>
            <w:tcW w:w="567" w:type="dxa"/>
          </w:tcPr>
          <w:p w14:paraId="47CC93D3" w14:textId="77777777" w:rsidR="00566119" w:rsidRPr="00566119" w:rsidRDefault="00566119" w:rsidP="00566119">
            <w:pPr>
              <w:rPr>
                <w:rStyle w:val="Hyperlink"/>
                <w:rFonts w:hint="cs"/>
                <w:rtl/>
              </w:rPr>
            </w:pPr>
            <w:hyperlink w:anchor="Seif2" w:tooltip="זכויות יתר" w:history="1">
              <w:r w:rsidRPr="00566119">
                <w:rPr>
                  <w:rStyle w:val="Hyperlink"/>
                </w:rPr>
                <w:t>Go</w:t>
              </w:r>
            </w:hyperlink>
          </w:p>
        </w:tc>
        <w:tc>
          <w:tcPr>
            <w:tcW w:w="850" w:type="dxa"/>
          </w:tcPr>
          <w:p w14:paraId="0E4FDA2D" w14:textId="77777777" w:rsidR="00566119" w:rsidRPr="00566119" w:rsidRDefault="00566119" w:rsidP="005661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66119" w:rsidRPr="00566119" w14:paraId="58EAF095" w14:textId="77777777" w:rsidTr="00566119">
        <w:tblPrEx>
          <w:tblCellMar>
            <w:top w:w="0" w:type="dxa"/>
            <w:bottom w:w="0" w:type="dxa"/>
          </w:tblCellMar>
        </w:tblPrEx>
        <w:tc>
          <w:tcPr>
            <w:tcW w:w="1247" w:type="dxa"/>
          </w:tcPr>
          <w:p w14:paraId="2A05AE91" w14:textId="77777777" w:rsidR="00566119" w:rsidRPr="00566119" w:rsidRDefault="00566119" w:rsidP="00566119">
            <w:pPr>
              <w:rPr>
                <w:rFonts w:cs="Frankruhel" w:hint="cs"/>
                <w:rtl/>
              </w:rPr>
            </w:pPr>
          </w:p>
        </w:tc>
        <w:tc>
          <w:tcPr>
            <w:tcW w:w="5669" w:type="dxa"/>
          </w:tcPr>
          <w:p w14:paraId="3706CAAA" w14:textId="77777777" w:rsidR="00566119" w:rsidRPr="00566119" w:rsidRDefault="00566119" w:rsidP="00566119">
            <w:pPr>
              <w:rPr>
                <w:rFonts w:cs="Frankruhel" w:hint="cs"/>
                <w:rtl/>
              </w:rPr>
            </w:pPr>
            <w:r>
              <w:rPr>
                <w:rtl/>
              </w:rPr>
              <w:t>תוספת ראשונה</w:t>
            </w:r>
          </w:p>
        </w:tc>
        <w:tc>
          <w:tcPr>
            <w:tcW w:w="567" w:type="dxa"/>
          </w:tcPr>
          <w:p w14:paraId="1A99BB5E" w14:textId="77777777" w:rsidR="00566119" w:rsidRPr="00566119" w:rsidRDefault="00566119" w:rsidP="00566119">
            <w:pPr>
              <w:rPr>
                <w:rStyle w:val="Hyperlink"/>
                <w:rFonts w:hint="cs"/>
                <w:rtl/>
              </w:rPr>
            </w:pPr>
            <w:hyperlink w:anchor="med0" w:tooltip="תוספת ראשונה" w:history="1">
              <w:r w:rsidRPr="00566119">
                <w:rPr>
                  <w:rStyle w:val="Hyperlink"/>
                </w:rPr>
                <w:t>Go</w:t>
              </w:r>
            </w:hyperlink>
          </w:p>
        </w:tc>
        <w:tc>
          <w:tcPr>
            <w:tcW w:w="850" w:type="dxa"/>
          </w:tcPr>
          <w:p w14:paraId="16B5D64C" w14:textId="77777777" w:rsidR="00566119" w:rsidRPr="00566119" w:rsidRDefault="00566119" w:rsidP="005661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566119" w:rsidRPr="00566119" w14:paraId="58CD4D2F" w14:textId="77777777" w:rsidTr="00566119">
        <w:tblPrEx>
          <w:tblCellMar>
            <w:top w:w="0" w:type="dxa"/>
            <w:bottom w:w="0" w:type="dxa"/>
          </w:tblCellMar>
        </w:tblPrEx>
        <w:tc>
          <w:tcPr>
            <w:tcW w:w="1247" w:type="dxa"/>
          </w:tcPr>
          <w:p w14:paraId="481C6F34" w14:textId="77777777" w:rsidR="00566119" w:rsidRPr="00566119" w:rsidRDefault="00566119" w:rsidP="00566119">
            <w:pPr>
              <w:rPr>
                <w:rFonts w:cs="Frankruhel" w:hint="cs"/>
                <w:rtl/>
              </w:rPr>
            </w:pPr>
          </w:p>
        </w:tc>
        <w:tc>
          <w:tcPr>
            <w:tcW w:w="5669" w:type="dxa"/>
          </w:tcPr>
          <w:p w14:paraId="05E2E706" w14:textId="77777777" w:rsidR="00566119" w:rsidRPr="00566119" w:rsidRDefault="00566119" w:rsidP="00566119">
            <w:pPr>
              <w:rPr>
                <w:rFonts w:cs="Frankruhel" w:hint="cs"/>
                <w:rtl/>
              </w:rPr>
            </w:pPr>
            <w:r>
              <w:rPr>
                <w:rtl/>
              </w:rPr>
              <w:t>תוספת שנייה</w:t>
            </w:r>
          </w:p>
        </w:tc>
        <w:tc>
          <w:tcPr>
            <w:tcW w:w="567" w:type="dxa"/>
          </w:tcPr>
          <w:p w14:paraId="6CC58F71" w14:textId="77777777" w:rsidR="00566119" w:rsidRPr="00566119" w:rsidRDefault="00566119" w:rsidP="00566119">
            <w:pPr>
              <w:rPr>
                <w:rStyle w:val="Hyperlink"/>
                <w:rFonts w:hint="cs"/>
                <w:rtl/>
              </w:rPr>
            </w:pPr>
            <w:hyperlink w:anchor="med1" w:tooltip="תוספת שנייה" w:history="1">
              <w:r w:rsidRPr="00566119">
                <w:rPr>
                  <w:rStyle w:val="Hyperlink"/>
                </w:rPr>
                <w:t>Go</w:t>
              </w:r>
            </w:hyperlink>
          </w:p>
        </w:tc>
        <w:tc>
          <w:tcPr>
            <w:tcW w:w="850" w:type="dxa"/>
          </w:tcPr>
          <w:p w14:paraId="721CE014" w14:textId="77777777" w:rsidR="00566119" w:rsidRPr="00566119" w:rsidRDefault="00566119" w:rsidP="005661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716EFE5" w14:textId="77777777" w:rsidR="00332489" w:rsidRDefault="00332489">
      <w:pPr>
        <w:pStyle w:val="big-header"/>
        <w:ind w:left="0" w:right="1134"/>
        <w:rPr>
          <w:rFonts w:cs="FrankRuehl" w:hint="cs"/>
          <w:sz w:val="32"/>
          <w:rtl/>
        </w:rPr>
      </w:pPr>
    </w:p>
    <w:p w14:paraId="25FE0CA5" w14:textId="77777777" w:rsidR="00332489" w:rsidRPr="00AF5261" w:rsidRDefault="00332489" w:rsidP="006903BD">
      <w:pPr>
        <w:pStyle w:val="big-header"/>
        <w:ind w:left="0" w:right="1134"/>
        <w:rPr>
          <w:rStyle w:val="default"/>
          <w:rFonts w:cs="FrankRuehl" w:hint="cs"/>
          <w:sz w:val="32"/>
          <w:szCs w:val="32"/>
          <w:rtl/>
        </w:rPr>
      </w:pPr>
      <w:r>
        <w:rPr>
          <w:rFonts w:cs="FrankRuehl"/>
          <w:sz w:val="32"/>
          <w:rtl/>
        </w:rPr>
        <w:br w:type="page"/>
      </w:r>
      <w:r w:rsidR="0050631B" w:rsidRPr="00A063DF">
        <w:rPr>
          <w:rFonts w:cs="FrankRuehl" w:hint="cs"/>
          <w:sz w:val="24"/>
          <w:rtl/>
        </w:rPr>
        <w:lastRenderedPageBreak/>
        <w:t xml:space="preserve">צו חסינויות וזכויות יתר (ארגונים בין-לאומיים ומשלחות מיוחדות) </w:t>
      </w:r>
      <w:r w:rsidR="0050631B">
        <w:rPr>
          <w:rFonts w:cs="FrankRuehl"/>
          <w:sz w:val="24"/>
          <w:rtl/>
        </w:rPr>
        <w:br/>
      </w:r>
      <w:r w:rsidR="0050631B" w:rsidRPr="00A063DF">
        <w:rPr>
          <w:rFonts w:cs="FrankRuehl" w:hint="cs"/>
          <w:sz w:val="24"/>
          <w:rtl/>
        </w:rPr>
        <w:t>(</w:t>
      </w:r>
      <w:r w:rsidR="0050631B">
        <w:rPr>
          <w:rFonts w:cs="FrankRuehl"/>
          <w:sz w:val="24"/>
        </w:rPr>
        <w:t>SHARE-ERIC</w:t>
      </w:r>
      <w:r w:rsidR="0050631B" w:rsidRPr="00A063DF">
        <w:rPr>
          <w:rFonts w:cs="FrankRuehl" w:hint="cs"/>
          <w:sz w:val="24"/>
          <w:rtl/>
        </w:rPr>
        <w:t>), תש</w:t>
      </w:r>
      <w:r w:rsidR="0050631B">
        <w:rPr>
          <w:rFonts w:cs="FrankRuehl" w:hint="cs"/>
          <w:sz w:val="24"/>
          <w:rtl/>
        </w:rPr>
        <w:t>"ף</w:t>
      </w:r>
      <w:r w:rsidR="0050631B" w:rsidRPr="00A063DF">
        <w:rPr>
          <w:rFonts w:cs="FrankRuehl" w:hint="cs"/>
          <w:sz w:val="24"/>
          <w:rtl/>
        </w:rPr>
        <w:t>-2019</w:t>
      </w:r>
      <w:r>
        <w:rPr>
          <w:rStyle w:val="default"/>
          <w:sz w:val="22"/>
          <w:szCs w:val="22"/>
          <w:rtl/>
        </w:rPr>
        <w:footnoteReference w:customMarkFollows="1" w:id="1"/>
        <w:t>*</w:t>
      </w:r>
    </w:p>
    <w:p w14:paraId="1E37D15D" w14:textId="77777777" w:rsidR="00332489" w:rsidRDefault="00332489">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סעיף 2 לחוק חסינויות וזכויות יתר (ארגונים בין</w:t>
      </w:r>
      <w:r>
        <w:rPr>
          <w:rStyle w:val="default"/>
          <w:rFonts w:cs="FrankRuehl" w:hint="cs"/>
          <w:rtl/>
        </w:rPr>
        <w:t>-</w:t>
      </w:r>
      <w:r>
        <w:rPr>
          <w:rStyle w:val="default"/>
          <w:rFonts w:cs="FrankRuehl"/>
          <w:rtl/>
        </w:rPr>
        <w:t>לאומיים ומשלחות מיוחדות), התשמ"ג</w:t>
      </w:r>
      <w:r>
        <w:rPr>
          <w:rStyle w:val="default"/>
          <w:rFonts w:cs="FrankRuehl" w:hint="cs"/>
          <w:rtl/>
        </w:rPr>
        <w:t>-1983</w:t>
      </w:r>
      <w:r>
        <w:rPr>
          <w:rStyle w:val="default"/>
          <w:rFonts w:cs="FrankRuehl"/>
          <w:rtl/>
        </w:rPr>
        <w:t>, באישור הממשלה ולאחר התייעצות עם היועץ המשפטי לממשלה</w:t>
      </w:r>
      <w:r w:rsidR="0050631B">
        <w:rPr>
          <w:rStyle w:val="default"/>
          <w:rFonts w:cs="FrankRuehl" w:hint="cs"/>
          <w:rtl/>
        </w:rPr>
        <w:t xml:space="preserve"> לפי סעיף 5 לחוק האמור</w:t>
      </w:r>
      <w:r>
        <w:rPr>
          <w:rStyle w:val="default"/>
          <w:rFonts w:cs="FrankRuehl"/>
          <w:rtl/>
        </w:rPr>
        <w:t>, אני מצווה לאמור:</w:t>
      </w:r>
    </w:p>
    <w:p w14:paraId="5E6791D5" w14:textId="77777777" w:rsidR="00332489" w:rsidRDefault="00332489" w:rsidP="000A7945">
      <w:pPr>
        <w:pStyle w:val="P00"/>
        <w:spacing w:before="72"/>
        <w:ind w:left="0" w:right="1134"/>
        <w:rPr>
          <w:rStyle w:val="default"/>
          <w:rFonts w:cs="FrankRuehl"/>
          <w:rtl/>
        </w:rPr>
      </w:pPr>
      <w:bookmarkStart w:id="0" w:name="Seif1"/>
      <w:bookmarkEnd w:id="0"/>
      <w:r>
        <w:rPr>
          <w:rFonts w:cs="Miriam"/>
          <w:lang w:val="he-IL"/>
        </w:rPr>
        <w:pict w14:anchorId="3B4B0B11">
          <v:rect id="_x0000_s1026" style="position:absolute;left:0;text-align:left;margin-left:464.35pt;margin-top:7.1pt;width:75.05pt;height:12.95pt;z-index:251657216" o:allowincell="f" filled="f" stroked="f" strokecolor="lime" strokeweight=".25pt">
            <v:textbox style="mso-next-textbox:#_x0000_s1026" inset="0,0,0,0">
              <w:txbxContent>
                <w:p w14:paraId="0E71219A" w14:textId="77777777" w:rsidR="003A5FFE" w:rsidRDefault="0050631B">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0631B">
        <w:rPr>
          <w:rStyle w:val="default"/>
          <w:rFonts w:cs="FrankRuehl" w:hint="cs"/>
          <w:sz w:val="20"/>
          <w:rtl/>
        </w:rPr>
        <w:t xml:space="preserve">בצו זה, "הארגון" </w:t>
      </w:r>
      <w:r w:rsidR="0050631B">
        <w:rPr>
          <w:rStyle w:val="default"/>
          <w:rFonts w:cs="FrankRuehl"/>
          <w:sz w:val="20"/>
          <w:rtl/>
        </w:rPr>
        <w:t>–</w:t>
      </w:r>
      <w:r w:rsidR="0050631B">
        <w:rPr>
          <w:rStyle w:val="default"/>
          <w:rFonts w:cs="FrankRuehl" w:hint="cs"/>
          <w:sz w:val="20"/>
          <w:rtl/>
        </w:rPr>
        <w:t xml:space="preserve"> קונסורציום אירופאי לביצוע סקר בריאות, הזדקנות ופרישה באירופה (</w:t>
      </w:r>
      <w:r w:rsidR="0050631B">
        <w:rPr>
          <w:rStyle w:val="default"/>
          <w:rFonts w:cs="FrankRuehl"/>
          <w:sz w:val="20"/>
        </w:rPr>
        <w:t>Survey of Health, Ageing and Retirement in Europe – European Research Infrastructures Consortium – SHARE-ERIC</w:t>
      </w:r>
      <w:r w:rsidR="0050631B">
        <w:rPr>
          <w:rStyle w:val="default"/>
          <w:rFonts w:cs="FrankRuehl" w:hint="cs"/>
          <w:sz w:val="20"/>
          <w:rtl/>
        </w:rPr>
        <w:t>), הפועל במסגרת משפטית שיצר האיחוד האירופי לצורך שיתוף תשתיות מחקר</w:t>
      </w:r>
      <w:r w:rsidR="000A7945">
        <w:rPr>
          <w:rStyle w:val="default"/>
          <w:rFonts w:cs="FrankRuehl" w:hint="cs"/>
          <w:sz w:val="20"/>
          <w:rtl/>
        </w:rPr>
        <w:t>.</w:t>
      </w:r>
    </w:p>
    <w:p w14:paraId="4652894C" w14:textId="77777777" w:rsidR="00332489" w:rsidRDefault="00332489" w:rsidP="000A7945">
      <w:pPr>
        <w:pStyle w:val="P00"/>
        <w:spacing w:before="72"/>
        <w:ind w:left="0" w:right="1134"/>
        <w:rPr>
          <w:rStyle w:val="default"/>
          <w:rFonts w:cs="FrankRuehl"/>
          <w:rtl/>
        </w:rPr>
      </w:pPr>
      <w:bookmarkStart w:id="1" w:name="Seif2"/>
      <w:bookmarkEnd w:id="1"/>
      <w:r>
        <w:rPr>
          <w:rFonts w:cs="Miriam"/>
          <w:lang w:val="he-IL"/>
        </w:rPr>
        <w:pict w14:anchorId="48F46B15">
          <v:rect id="_x0000_s1179" style="position:absolute;left:0;text-align:left;margin-left:464.35pt;margin-top:7.1pt;width:75.05pt;height:9.05pt;z-index:251658240" o:allowincell="f" filled="f" stroked="f" strokecolor="lime" strokeweight=".25pt">
            <v:textbox style="mso-next-textbox:#_x0000_s1179" inset="0,0,0,0">
              <w:txbxContent>
                <w:p w14:paraId="41B97633" w14:textId="77777777" w:rsidR="003A5FFE" w:rsidRDefault="0050631B">
                  <w:pPr>
                    <w:spacing w:line="160" w:lineRule="exact"/>
                    <w:rPr>
                      <w:rFonts w:cs="Miriam" w:hint="cs"/>
                      <w:noProof/>
                      <w:sz w:val="18"/>
                      <w:szCs w:val="18"/>
                      <w:rtl/>
                    </w:rPr>
                  </w:pPr>
                  <w:r>
                    <w:rPr>
                      <w:rFonts w:cs="Miriam" w:hint="cs"/>
                      <w:sz w:val="18"/>
                      <w:szCs w:val="18"/>
                      <w:rtl/>
                    </w:rPr>
                    <w:t>זכויות יתר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0631B">
        <w:rPr>
          <w:rStyle w:val="default"/>
          <w:rFonts w:cs="FrankRuehl" w:hint="cs"/>
          <w:rtl/>
        </w:rPr>
        <w:t>לפי הצהרת המשרד לאזרחים ותיקים מיום י"ב בתשרי התשע"ד (16 בספטמבר 2013), בדבר הצטרפותה של מדינת ישראל לארגון, כנוסחה בתוספת הראשונה, רכישות כמפורט בסעיף 15 לחוקת הארגון, כנוסחו בתוספת השנייה, שנעשות בידי הארגון בישראל, יהיו פטורות מתשלום מס ערך מוסף ובלו; הפטור כאמור יוענק בדרך של החזר לארגון</w:t>
      </w:r>
      <w:r w:rsidR="000A7945">
        <w:rPr>
          <w:rStyle w:val="default"/>
          <w:rFonts w:cs="FrankRuehl" w:hint="cs"/>
          <w:rtl/>
        </w:rPr>
        <w:t>.</w:t>
      </w:r>
    </w:p>
    <w:p w14:paraId="6769F82E" w14:textId="77777777" w:rsidR="006903BD" w:rsidRDefault="006903BD">
      <w:pPr>
        <w:pStyle w:val="P00"/>
        <w:spacing w:before="72"/>
        <w:ind w:left="0" w:right="1134"/>
        <w:rPr>
          <w:rStyle w:val="default"/>
          <w:rFonts w:cs="FrankRuehl" w:hint="cs"/>
          <w:rtl/>
        </w:rPr>
      </w:pPr>
    </w:p>
    <w:p w14:paraId="6762F92A" w14:textId="77777777" w:rsidR="006903BD" w:rsidRPr="00F02DF5" w:rsidRDefault="000A7945" w:rsidP="00F02DF5">
      <w:pPr>
        <w:pStyle w:val="medium2-header"/>
        <w:keepLines w:val="0"/>
        <w:spacing w:before="72"/>
        <w:ind w:left="0" w:right="1134"/>
        <w:outlineLvl w:val="0"/>
        <w:rPr>
          <w:rFonts w:cs="FrankRuehl" w:hint="cs"/>
          <w:noProof/>
          <w:rtl/>
        </w:rPr>
      </w:pPr>
      <w:bookmarkStart w:id="2" w:name="med0"/>
      <w:bookmarkEnd w:id="2"/>
      <w:r w:rsidRPr="00F02DF5">
        <w:rPr>
          <w:rFonts w:cs="FrankRuehl" w:hint="cs"/>
          <w:noProof/>
          <w:rtl/>
        </w:rPr>
        <w:t>תוספת</w:t>
      </w:r>
      <w:r w:rsidR="0050631B">
        <w:rPr>
          <w:rFonts w:cs="FrankRuehl" w:hint="cs"/>
          <w:noProof/>
          <w:rtl/>
        </w:rPr>
        <w:t xml:space="preserve"> ראשונה</w:t>
      </w:r>
    </w:p>
    <w:p w14:paraId="5AFDB525" w14:textId="77777777" w:rsidR="006903BD" w:rsidRPr="00F02DF5" w:rsidRDefault="000A7945" w:rsidP="00F02DF5">
      <w:pPr>
        <w:pStyle w:val="P00"/>
        <w:spacing w:before="72"/>
        <w:ind w:left="0" w:right="1134"/>
        <w:jc w:val="center"/>
        <w:rPr>
          <w:rStyle w:val="default"/>
          <w:rFonts w:cs="FrankRuehl" w:hint="cs"/>
          <w:sz w:val="24"/>
          <w:szCs w:val="24"/>
          <w:rtl/>
        </w:rPr>
      </w:pPr>
      <w:r w:rsidRPr="00F02DF5">
        <w:rPr>
          <w:rStyle w:val="default"/>
          <w:rFonts w:cs="FrankRuehl" w:hint="cs"/>
          <w:sz w:val="24"/>
          <w:szCs w:val="24"/>
          <w:rtl/>
        </w:rPr>
        <w:t xml:space="preserve">(סעיף </w:t>
      </w:r>
      <w:r w:rsidR="0050631B">
        <w:rPr>
          <w:rStyle w:val="default"/>
          <w:rFonts w:cs="FrankRuehl" w:hint="cs"/>
          <w:sz w:val="24"/>
          <w:szCs w:val="24"/>
          <w:rtl/>
        </w:rPr>
        <w:t>2</w:t>
      </w:r>
      <w:r w:rsidRPr="00F02DF5">
        <w:rPr>
          <w:rStyle w:val="default"/>
          <w:rFonts w:cs="FrankRuehl" w:hint="cs"/>
          <w:sz w:val="24"/>
          <w:szCs w:val="24"/>
          <w:rtl/>
        </w:rPr>
        <w:t>)</w:t>
      </w:r>
    </w:p>
    <w:p w14:paraId="521B3411" w14:textId="77777777" w:rsidR="006903BD" w:rsidRDefault="0050631B" w:rsidP="0050631B">
      <w:pPr>
        <w:pStyle w:val="P00"/>
        <w:spacing w:before="72"/>
        <w:ind w:left="0" w:right="1134"/>
        <w:jc w:val="right"/>
        <w:rPr>
          <w:rStyle w:val="default"/>
          <w:rFonts w:cs="FrankRuehl"/>
          <w:sz w:val="20"/>
          <w:rtl/>
        </w:rPr>
      </w:pPr>
      <w:r>
        <w:rPr>
          <w:rStyle w:val="default"/>
          <w:rFonts w:cs="FrankRuehl" w:hint="cs"/>
          <w:sz w:val="20"/>
          <w:rtl/>
        </w:rPr>
        <w:t>ירושלים, 16 בספטמבר, 2013</w:t>
      </w:r>
    </w:p>
    <w:p w14:paraId="78A95207" w14:textId="77777777" w:rsidR="0050631B" w:rsidRDefault="0050631B">
      <w:pPr>
        <w:pStyle w:val="P00"/>
        <w:spacing w:before="72"/>
        <w:ind w:left="0" w:right="1134"/>
        <w:rPr>
          <w:rStyle w:val="default"/>
          <w:rFonts w:cs="FrankRuehl"/>
          <w:sz w:val="20"/>
          <w:rtl/>
        </w:rPr>
      </w:pPr>
      <w:r>
        <w:rPr>
          <w:rStyle w:val="default"/>
          <w:rFonts w:cs="FrankRuehl" w:hint="cs"/>
          <w:sz w:val="20"/>
          <w:rtl/>
        </w:rPr>
        <w:t>ד"ר אנג'ליקה ווילמס הרגט, יו"ר המועצה</w:t>
      </w:r>
    </w:p>
    <w:p w14:paraId="12BCDF4A" w14:textId="77777777" w:rsidR="0050631B" w:rsidRDefault="0050631B">
      <w:pPr>
        <w:pStyle w:val="P00"/>
        <w:spacing w:before="72"/>
        <w:ind w:left="0" w:right="1134"/>
        <w:rPr>
          <w:rStyle w:val="default"/>
          <w:rFonts w:cs="FrankRuehl"/>
          <w:sz w:val="20"/>
          <w:rtl/>
        </w:rPr>
      </w:pPr>
      <w:r>
        <w:rPr>
          <w:rStyle w:val="default"/>
          <w:rFonts w:cs="FrankRuehl" w:hint="cs"/>
          <w:sz w:val="20"/>
          <w:rtl/>
        </w:rPr>
        <w:t>מר אקסל בורש-שופן, מתאם</w:t>
      </w:r>
    </w:p>
    <w:p w14:paraId="72CEE063" w14:textId="77777777" w:rsidR="0050631B" w:rsidRDefault="0050631B">
      <w:pPr>
        <w:pStyle w:val="P00"/>
        <w:spacing w:before="72"/>
        <w:ind w:left="0" w:right="1134"/>
        <w:rPr>
          <w:rStyle w:val="default"/>
          <w:rFonts w:cs="FrankRuehl"/>
          <w:sz w:val="20"/>
          <w:rtl/>
        </w:rPr>
      </w:pPr>
      <w:r>
        <w:rPr>
          <w:rStyle w:val="default"/>
          <w:rFonts w:cs="FrankRuehl"/>
          <w:sz w:val="20"/>
        </w:rPr>
        <w:t>SHARE-ERIC</w:t>
      </w:r>
    </w:p>
    <w:p w14:paraId="05833340" w14:textId="77777777" w:rsidR="0050631B" w:rsidRDefault="0050631B">
      <w:pPr>
        <w:pStyle w:val="P00"/>
        <w:spacing w:before="72"/>
        <w:ind w:left="0" w:right="1134"/>
        <w:rPr>
          <w:rStyle w:val="default"/>
          <w:rFonts w:cs="FrankRuehl"/>
          <w:sz w:val="20"/>
          <w:rtl/>
        </w:rPr>
      </w:pPr>
      <w:r>
        <w:rPr>
          <w:rStyle w:val="default"/>
          <w:rFonts w:cs="FrankRuehl" w:hint="cs"/>
          <w:sz w:val="20"/>
          <w:rtl/>
        </w:rPr>
        <w:t>ג.א.נ.,</w:t>
      </w:r>
    </w:p>
    <w:p w14:paraId="1551C657" w14:textId="77777777" w:rsidR="0050631B" w:rsidRPr="0050631B" w:rsidRDefault="0050631B">
      <w:pPr>
        <w:pStyle w:val="P00"/>
        <w:spacing w:before="72"/>
        <w:ind w:left="0" w:right="1134"/>
        <w:rPr>
          <w:rStyle w:val="default"/>
          <w:rFonts w:cs="FrankRuehl"/>
          <w:b/>
          <w:bCs/>
          <w:sz w:val="18"/>
          <w:szCs w:val="22"/>
          <w:rtl/>
        </w:rPr>
      </w:pPr>
      <w:r w:rsidRPr="0050631B">
        <w:rPr>
          <w:rStyle w:val="default"/>
          <w:rFonts w:cs="FrankRuehl" w:hint="cs"/>
          <w:b/>
          <w:bCs/>
          <w:sz w:val="18"/>
          <w:szCs w:val="22"/>
          <w:rtl/>
        </w:rPr>
        <w:t>הנדון: הצטרפות ל-</w:t>
      </w:r>
      <w:r w:rsidRPr="0050631B">
        <w:rPr>
          <w:rStyle w:val="default"/>
          <w:rFonts w:cs="FrankRuehl"/>
          <w:b/>
          <w:bCs/>
          <w:sz w:val="18"/>
          <w:szCs w:val="22"/>
        </w:rPr>
        <w:t>SHARE-ERIC</w:t>
      </w:r>
    </w:p>
    <w:p w14:paraId="7D32B1E5" w14:textId="77777777" w:rsidR="0050631B" w:rsidRDefault="00762222" w:rsidP="00762222">
      <w:pPr>
        <w:pStyle w:val="P00"/>
        <w:spacing w:before="72"/>
        <w:ind w:left="624" w:right="1134" w:hanging="62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מדינת ישראל המיוצגת על ידי המשרד לאזרחים ותיקים, לאור פנייתה לחברות ב-</w:t>
      </w:r>
      <w:r>
        <w:rPr>
          <w:rStyle w:val="default"/>
          <w:rFonts w:cs="FrankRuehl"/>
          <w:sz w:val="20"/>
        </w:rPr>
        <w:t>SHARE-ERIC</w:t>
      </w:r>
      <w:r>
        <w:rPr>
          <w:rStyle w:val="default"/>
          <w:rFonts w:cs="FrankRuehl" w:hint="cs"/>
          <w:sz w:val="20"/>
          <w:rtl/>
        </w:rPr>
        <w:t>, לפי סעיף 9(5) לתקנות מועצת אירופה (</w:t>
      </w:r>
      <w:r>
        <w:rPr>
          <w:rStyle w:val="default"/>
          <w:rFonts w:cs="FrankRuehl"/>
          <w:sz w:val="20"/>
        </w:rPr>
        <w:t>EC</w:t>
      </w:r>
      <w:r>
        <w:rPr>
          <w:rStyle w:val="default"/>
          <w:rFonts w:cs="FrankRuehl" w:hint="cs"/>
          <w:sz w:val="20"/>
          <w:rtl/>
        </w:rPr>
        <w:t>) מס' 723/2009 מיום ג' תמוז, התשס"ט (25 ביוני 2009) בנוגע למסגרת המשפטית של קונסורציום תשתית מחקר אירופי ("תקנת ה-</w:t>
      </w:r>
      <w:r>
        <w:rPr>
          <w:rStyle w:val="default"/>
          <w:rFonts w:cs="FrankRuehl"/>
          <w:sz w:val="20"/>
        </w:rPr>
        <w:t>ERIC</w:t>
      </w:r>
      <w:r>
        <w:rPr>
          <w:rStyle w:val="default"/>
          <w:rFonts w:cs="FrankRuehl" w:hint="cs"/>
          <w:sz w:val="20"/>
          <w:rtl/>
        </w:rPr>
        <w:t>") מצהירה כי:</w:t>
      </w:r>
    </w:p>
    <w:p w14:paraId="1CDFAA89" w14:textId="77777777" w:rsidR="00762222" w:rsidRDefault="00762222" w:rsidP="00762222">
      <w:pPr>
        <w:pStyle w:val="P00"/>
        <w:spacing w:before="72"/>
        <w:ind w:left="1021" w:right="1134" w:hanging="397"/>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ל-</w:t>
      </w:r>
      <w:r>
        <w:rPr>
          <w:rStyle w:val="default"/>
          <w:rFonts w:cs="FrankRuehl"/>
          <w:sz w:val="20"/>
        </w:rPr>
        <w:t>SHARE-ERIC</w:t>
      </w:r>
      <w:r>
        <w:rPr>
          <w:rStyle w:val="default"/>
          <w:rFonts w:cs="FrankRuehl" w:hint="cs"/>
          <w:sz w:val="20"/>
          <w:rtl/>
        </w:rPr>
        <w:t xml:space="preserve"> תהיה אישיות משפטית לפי החוקים והתקנות במדינת ישראל לפי סעיף 7(1) ו-(2) לתקנת ה-</w:t>
      </w:r>
      <w:r>
        <w:rPr>
          <w:rStyle w:val="default"/>
          <w:rFonts w:cs="FrankRuehl"/>
          <w:sz w:val="20"/>
        </w:rPr>
        <w:t>ERIC</w:t>
      </w:r>
      <w:r>
        <w:rPr>
          <w:rStyle w:val="default"/>
          <w:rFonts w:cs="FrankRuehl" w:hint="cs"/>
          <w:sz w:val="20"/>
          <w:rtl/>
        </w:rPr>
        <w:t>;</w:t>
      </w:r>
    </w:p>
    <w:p w14:paraId="4B9E057D" w14:textId="77777777" w:rsidR="00762222" w:rsidRDefault="00762222" w:rsidP="00762222">
      <w:pPr>
        <w:pStyle w:val="P00"/>
        <w:spacing w:before="72"/>
        <w:ind w:left="1021" w:right="1134" w:hanging="397"/>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השתתפותה ב-</w:t>
      </w:r>
      <w:r>
        <w:rPr>
          <w:rStyle w:val="default"/>
          <w:rFonts w:cs="FrankRuehl"/>
          <w:sz w:val="20"/>
        </w:rPr>
        <w:t>SHARE-ERIC</w:t>
      </w:r>
      <w:r>
        <w:rPr>
          <w:rStyle w:val="default"/>
          <w:rFonts w:cs="FrankRuehl" w:hint="cs"/>
          <w:sz w:val="20"/>
          <w:rtl/>
        </w:rPr>
        <w:t xml:space="preserve"> כפופה לכללים שנקבעו לצורך הצטרפות בסעיף 15 לתקנת ה-</w:t>
      </w:r>
      <w:r>
        <w:rPr>
          <w:rStyle w:val="default"/>
          <w:rFonts w:cs="FrankRuehl"/>
          <w:sz w:val="20"/>
        </w:rPr>
        <w:t>ERIC</w:t>
      </w:r>
      <w:r>
        <w:rPr>
          <w:rStyle w:val="default"/>
          <w:rFonts w:cs="FrankRuehl" w:hint="cs"/>
          <w:sz w:val="20"/>
          <w:rtl/>
        </w:rPr>
        <w:t>.</w:t>
      </w:r>
    </w:p>
    <w:p w14:paraId="08455D56" w14:textId="77777777" w:rsidR="00762222" w:rsidRDefault="00762222" w:rsidP="00E92E13">
      <w:pPr>
        <w:pStyle w:val="P00"/>
        <w:spacing w:before="72"/>
        <w:ind w:left="624" w:right="1134" w:hanging="624"/>
        <w:rPr>
          <w:rStyle w:val="default"/>
          <w:rFonts w:cs="FrankRuehl"/>
          <w:sz w:val="20"/>
          <w:rtl/>
        </w:rPr>
      </w:pPr>
      <w:r>
        <w:rPr>
          <w:rStyle w:val="default"/>
          <w:rFonts w:cs="FrankRuehl" w:hint="cs"/>
          <w:sz w:val="20"/>
          <w:rtl/>
        </w:rPr>
        <w:t>2.</w:t>
      </w:r>
      <w:r>
        <w:rPr>
          <w:rStyle w:val="default"/>
          <w:rFonts w:cs="FrankRuehl"/>
          <w:sz w:val="20"/>
          <w:rtl/>
        </w:rPr>
        <w:tab/>
      </w:r>
      <w:r w:rsidR="00E92E13">
        <w:rPr>
          <w:rStyle w:val="default"/>
          <w:rFonts w:cs="FrankRuehl" w:hint="cs"/>
          <w:sz w:val="20"/>
          <w:rtl/>
        </w:rPr>
        <w:t>מדינת ישראל תקנה ל-</w:t>
      </w:r>
      <w:r w:rsidR="00E92E13">
        <w:rPr>
          <w:rStyle w:val="default"/>
          <w:rFonts w:cs="FrankRuehl"/>
          <w:sz w:val="20"/>
        </w:rPr>
        <w:t>SHARE-ERIC</w:t>
      </w:r>
      <w:r w:rsidR="00E92E13">
        <w:rPr>
          <w:rStyle w:val="default"/>
          <w:rFonts w:cs="FrankRuehl" w:hint="cs"/>
          <w:sz w:val="20"/>
          <w:rtl/>
        </w:rPr>
        <w:t xml:space="preserve"> הסדר המקביל למפורט להלן:</w:t>
      </w:r>
    </w:p>
    <w:p w14:paraId="681A664F" w14:textId="77777777" w:rsidR="00E92E13" w:rsidRDefault="00E92E13" w:rsidP="00E92E13">
      <w:pPr>
        <w:pStyle w:val="P00"/>
        <w:spacing w:before="72"/>
        <w:ind w:left="1021" w:right="1134" w:hanging="397"/>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סעיף 5(1)(ד) לתקנת ה-</w:t>
      </w:r>
      <w:r>
        <w:rPr>
          <w:rStyle w:val="default"/>
          <w:rFonts w:cs="FrankRuehl"/>
          <w:sz w:val="20"/>
        </w:rPr>
        <w:t>ERIC</w:t>
      </w:r>
      <w:r>
        <w:rPr>
          <w:rStyle w:val="default"/>
          <w:rFonts w:cs="FrankRuehl" w:hint="cs"/>
          <w:sz w:val="20"/>
          <w:rtl/>
        </w:rPr>
        <w:t xml:space="preserve">, בכפוף למגבלות ולתנאים שנקבעו בהסכם שבין חברי </w:t>
      </w:r>
      <w:r>
        <w:rPr>
          <w:rStyle w:val="default"/>
          <w:rFonts w:cs="FrankRuehl"/>
          <w:sz w:val="20"/>
        </w:rPr>
        <w:t>SHARE-ERIC</w:t>
      </w:r>
      <w:r>
        <w:rPr>
          <w:rStyle w:val="default"/>
          <w:rFonts w:cs="FrankRuehl" w:hint="cs"/>
          <w:sz w:val="20"/>
          <w:rtl/>
        </w:rPr>
        <w:t>; ו-(ב) סעיף 7(3) לתקנת ה-</w:t>
      </w:r>
      <w:r>
        <w:rPr>
          <w:rStyle w:val="default"/>
          <w:rFonts w:cs="FrankRuehl"/>
          <w:sz w:val="20"/>
        </w:rPr>
        <w:t>ERIC</w:t>
      </w:r>
      <w:r>
        <w:rPr>
          <w:rStyle w:val="default"/>
          <w:rFonts w:cs="FrankRuehl" w:hint="cs"/>
          <w:sz w:val="20"/>
          <w:rtl/>
        </w:rPr>
        <w:t>.</w:t>
      </w:r>
    </w:p>
    <w:p w14:paraId="57D3DC22" w14:textId="77777777" w:rsidR="00E92E13" w:rsidRDefault="00E92E13" w:rsidP="00E92E13">
      <w:pPr>
        <w:pStyle w:val="P00"/>
        <w:spacing w:before="72"/>
        <w:ind w:left="624" w:right="1134" w:hanging="62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הצהרה זו תחייב את מדינת ישראל מכניסתה לתוקף לפי פסקה 4 וכל עוד מדינת ישראל נותרת חברה ב-</w:t>
      </w:r>
      <w:r>
        <w:rPr>
          <w:rStyle w:val="default"/>
          <w:rFonts w:cs="FrankRuehl"/>
          <w:sz w:val="20"/>
        </w:rPr>
        <w:t>SHARE-ERIC</w:t>
      </w:r>
      <w:r>
        <w:rPr>
          <w:rStyle w:val="default"/>
          <w:rFonts w:cs="FrankRuehl" w:hint="cs"/>
          <w:sz w:val="20"/>
          <w:rtl/>
        </w:rPr>
        <w:t>.</w:t>
      </w:r>
    </w:p>
    <w:p w14:paraId="75B0F2B8" w14:textId="77777777" w:rsidR="00E92E13" w:rsidRDefault="00E92E13" w:rsidP="00E92E13">
      <w:pPr>
        <w:pStyle w:val="P00"/>
        <w:spacing w:before="72"/>
        <w:ind w:left="624" w:right="1134" w:hanging="62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הצהרה זו תיכנס לתוקף במועד המאוחר מבין ההודעות בכתב הבאות: (א) הודעת מדינת ישראל ל-</w:t>
      </w:r>
      <w:r>
        <w:rPr>
          <w:rStyle w:val="default"/>
          <w:rFonts w:cs="FrankRuehl"/>
          <w:sz w:val="20"/>
        </w:rPr>
        <w:t>SHARE-ERIC</w:t>
      </w:r>
      <w:r>
        <w:rPr>
          <w:rStyle w:val="default"/>
          <w:rFonts w:cs="FrankRuehl" w:hint="cs"/>
          <w:sz w:val="20"/>
          <w:rtl/>
        </w:rPr>
        <w:t xml:space="preserve"> כי ההליכים הפנימיים הנחוצים כדי להוציא לפועל הצהרה זו הושלמו ו-(ב) הודעת </w:t>
      </w:r>
      <w:r>
        <w:rPr>
          <w:rStyle w:val="default"/>
          <w:rFonts w:cs="FrankRuehl"/>
          <w:sz w:val="20"/>
        </w:rPr>
        <w:t>SHARE-ERIC</w:t>
      </w:r>
      <w:r>
        <w:rPr>
          <w:rStyle w:val="default"/>
          <w:rFonts w:cs="FrankRuehl" w:hint="cs"/>
          <w:sz w:val="20"/>
          <w:rtl/>
        </w:rPr>
        <w:t xml:space="preserve"> למדינת ישראל שמועצת </w:t>
      </w:r>
      <w:r>
        <w:rPr>
          <w:rStyle w:val="default"/>
          <w:rFonts w:cs="FrankRuehl"/>
          <w:sz w:val="20"/>
        </w:rPr>
        <w:t>SHARE-ERIC</w:t>
      </w:r>
      <w:r>
        <w:rPr>
          <w:rStyle w:val="default"/>
          <w:rFonts w:cs="FrankRuehl" w:hint="cs"/>
          <w:sz w:val="20"/>
          <w:rtl/>
        </w:rPr>
        <w:t xml:space="preserve"> החליטה לאשר את הצטרפות מדינת ישראל ל-</w:t>
      </w:r>
      <w:r>
        <w:rPr>
          <w:rStyle w:val="default"/>
          <w:rFonts w:cs="FrankRuehl"/>
          <w:sz w:val="20"/>
        </w:rPr>
        <w:t>SHARE-ERIC</w:t>
      </w:r>
      <w:r>
        <w:rPr>
          <w:rStyle w:val="default"/>
          <w:rFonts w:cs="FrankRuehl" w:hint="cs"/>
          <w:sz w:val="20"/>
          <w:rtl/>
        </w:rPr>
        <w:t xml:space="preserve"> לפי תנאי הצהרה זו.</w:t>
      </w:r>
    </w:p>
    <w:p w14:paraId="205C6C0A" w14:textId="77777777" w:rsidR="00E92E13" w:rsidRDefault="00E92E13">
      <w:pPr>
        <w:pStyle w:val="P00"/>
        <w:spacing w:before="72"/>
        <w:ind w:left="0" w:right="1134"/>
        <w:rPr>
          <w:rStyle w:val="default"/>
          <w:rFonts w:cs="FrankRuehl"/>
          <w:sz w:val="20"/>
          <w:rtl/>
        </w:rPr>
      </w:pPr>
    </w:p>
    <w:p w14:paraId="14A98464" w14:textId="77777777" w:rsidR="00E92E13" w:rsidRDefault="00E92E13" w:rsidP="00E92E1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0"/>
          <w:rtl/>
        </w:rPr>
      </w:pPr>
      <w:r>
        <w:rPr>
          <w:rStyle w:val="default"/>
          <w:rFonts w:cs="FrankRuehl"/>
          <w:sz w:val="20"/>
          <w:rtl/>
        </w:rPr>
        <w:tab/>
      </w:r>
      <w:r>
        <w:rPr>
          <w:rStyle w:val="default"/>
          <w:rFonts w:cs="FrankRuehl" w:hint="cs"/>
          <w:sz w:val="20"/>
          <w:rtl/>
        </w:rPr>
        <w:t>בברכה,</w:t>
      </w:r>
    </w:p>
    <w:p w14:paraId="4648B21D" w14:textId="77777777" w:rsidR="00E92E13" w:rsidRDefault="00E92E13" w:rsidP="00E92E1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0"/>
          <w:rtl/>
        </w:rPr>
      </w:pPr>
      <w:r>
        <w:rPr>
          <w:rStyle w:val="default"/>
          <w:rFonts w:cs="FrankRuehl"/>
          <w:sz w:val="20"/>
          <w:rtl/>
        </w:rPr>
        <w:lastRenderedPageBreak/>
        <w:tab/>
      </w:r>
      <w:r>
        <w:rPr>
          <w:rStyle w:val="default"/>
          <w:rFonts w:cs="FrankRuehl" w:hint="cs"/>
          <w:sz w:val="20"/>
          <w:rtl/>
        </w:rPr>
        <w:t>אהרון אזולאי</w:t>
      </w:r>
    </w:p>
    <w:p w14:paraId="6DE5EECE" w14:textId="77777777" w:rsidR="00E92E13" w:rsidRPr="00F02DF5" w:rsidRDefault="00E92E13" w:rsidP="00E92E1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המנהל הכללי</w:t>
      </w:r>
    </w:p>
    <w:p w14:paraId="290740BC" w14:textId="77777777" w:rsidR="0050631B" w:rsidRDefault="0050631B">
      <w:pPr>
        <w:pStyle w:val="P00"/>
        <w:spacing w:before="72"/>
        <w:ind w:left="0" w:right="1134"/>
        <w:rPr>
          <w:rStyle w:val="default"/>
          <w:rFonts w:cs="FrankRuehl"/>
          <w:rtl/>
        </w:rPr>
      </w:pPr>
    </w:p>
    <w:p w14:paraId="164B355B" w14:textId="77777777" w:rsidR="00E92E13" w:rsidRPr="00E92E13" w:rsidRDefault="00E92E13" w:rsidP="00E92E13">
      <w:pPr>
        <w:pStyle w:val="medium2-header"/>
        <w:keepLines w:val="0"/>
        <w:spacing w:before="72"/>
        <w:ind w:left="0" w:right="1134"/>
        <w:outlineLvl w:val="0"/>
        <w:rPr>
          <w:rFonts w:cs="FrankRuehl"/>
          <w:noProof/>
          <w:rtl/>
        </w:rPr>
      </w:pPr>
      <w:bookmarkStart w:id="3" w:name="med1"/>
      <w:bookmarkEnd w:id="3"/>
      <w:r w:rsidRPr="00E92E13">
        <w:rPr>
          <w:rFonts w:cs="FrankRuehl" w:hint="cs"/>
          <w:noProof/>
          <w:rtl/>
        </w:rPr>
        <w:t>תוספת שנייה</w:t>
      </w:r>
    </w:p>
    <w:p w14:paraId="5E4A9B5B" w14:textId="77777777" w:rsidR="00E92E13" w:rsidRPr="00E92E13" w:rsidRDefault="00E92E13" w:rsidP="00E92E13">
      <w:pPr>
        <w:pStyle w:val="P00"/>
        <w:spacing w:before="72"/>
        <w:ind w:left="0" w:right="1134"/>
        <w:jc w:val="center"/>
        <w:rPr>
          <w:rStyle w:val="default"/>
          <w:rFonts w:cs="FrankRuehl"/>
          <w:sz w:val="24"/>
          <w:szCs w:val="24"/>
          <w:rtl/>
        </w:rPr>
      </w:pPr>
      <w:r w:rsidRPr="00E92E13">
        <w:rPr>
          <w:rStyle w:val="default"/>
          <w:rFonts w:cs="FrankRuehl" w:hint="cs"/>
          <w:sz w:val="24"/>
          <w:szCs w:val="24"/>
          <w:rtl/>
        </w:rPr>
        <w:t>(סעיף 2)</w:t>
      </w:r>
    </w:p>
    <w:p w14:paraId="6F36CDD8" w14:textId="77777777" w:rsidR="00E92E13" w:rsidRPr="00E92E13" w:rsidRDefault="00E92E13">
      <w:pPr>
        <w:pStyle w:val="P00"/>
        <w:spacing w:before="72"/>
        <w:ind w:left="0" w:right="1134"/>
        <w:rPr>
          <w:rStyle w:val="default"/>
          <w:rFonts w:cs="FrankRuehl"/>
          <w:b/>
          <w:bCs/>
          <w:sz w:val="22"/>
          <w:szCs w:val="22"/>
          <w:rtl/>
        </w:rPr>
      </w:pPr>
      <w:r w:rsidRPr="00E92E13">
        <w:rPr>
          <w:rStyle w:val="default"/>
          <w:rFonts w:cs="FrankRuehl" w:hint="cs"/>
          <w:b/>
          <w:bCs/>
          <w:sz w:val="22"/>
          <w:szCs w:val="22"/>
          <w:rtl/>
        </w:rPr>
        <w:t>סעיף 15</w:t>
      </w:r>
    </w:p>
    <w:p w14:paraId="2483C4DE" w14:textId="77777777" w:rsidR="00E92E13" w:rsidRPr="00E92E13" w:rsidRDefault="00E92E13">
      <w:pPr>
        <w:pStyle w:val="P00"/>
        <w:spacing w:before="72"/>
        <w:ind w:left="0" w:right="1134"/>
        <w:rPr>
          <w:rStyle w:val="default"/>
          <w:rFonts w:cs="FrankRuehl"/>
          <w:b/>
          <w:bCs/>
          <w:sz w:val="22"/>
          <w:szCs w:val="22"/>
          <w:rtl/>
        </w:rPr>
      </w:pPr>
      <w:r w:rsidRPr="00E92E13">
        <w:rPr>
          <w:rStyle w:val="default"/>
          <w:rFonts w:cs="FrankRuehl" w:hint="cs"/>
          <w:b/>
          <w:bCs/>
          <w:sz w:val="22"/>
          <w:szCs w:val="22"/>
          <w:rtl/>
        </w:rPr>
        <w:t>רכש ופטורים ממס</w:t>
      </w:r>
    </w:p>
    <w:p w14:paraId="6E24339D" w14:textId="77777777" w:rsidR="00E92E13" w:rsidRDefault="00E92E13" w:rsidP="006E440C">
      <w:pPr>
        <w:pStyle w:val="P00"/>
        <w:spacing w:before="72"/>
        <w:ind w:left="624" w:right="1134" w:hanging="624"/>
        <w:rPr>
          <w:rStyle w:val="default"/>
          <w:rFonts w:cs="FrankRuehl"/>
          <w:sz w:val="20"/>
          <w:rtl/>
        </w:rPr>
      </w:pPr>
      <w:r w:rsidRPr="00E92E13">
        <w:rPr>
          <w:rStyle w:val="default"/>
          <w:rFonts w:cs="FrankRuehl" w:hint="cs"/>
          <w:sz w:val="20"/>
          <w:rtl/>
        </w:rPr>
        <w:t>(1)</w:t>
      </w:r>
      <w:r w:rsidRPr="00E92E13">
        <w:rPr>
          <w:rStyle w:val="default"/>
          <w:rFonts w:cs="FrankRuehl"/>
          <w:sz w:val="20"/>
          <w:rtl/>
        </w:rPr>
        <w:tab/>
      </w:r>
      <w:r w:rsidRPr="00E92E13">
        <w:rPr>
          <w:rStyle w:val="default"/>
          <w:rFonts w:cs="FrankRuehl"/>
          <w:sz w:val="20"/>
        </w:rPr>
        <w:t>SHARE-ERIC</w:t>
      </w:r>
      <w:r w:rsidRPr="00E92E13">
        <w:rPr>
          <w:rStyle w:val="default"/>
          <w:rFonts w:cs="FrankRuehl" w:hint="cs"/>
          <w:sz w:val="20"/>
          <w:rtl/>
        </w:rPr>
        <w:t xml:space="preserve"> ינהג</w:t>
      </w:r>
      <w:r>
        <w:rPr>
          <w:rStyle w:val="default"/>
          <w:rFonts w:cs="FrankRuehl" w:hint="cs"/>
          <w:sz w:val="20"/>
          <w:rtl/>
        </w:rPr>
        <w:t xml:space="preserve"> במועמדים לרכש ולמכרזים באופן שווה ובאופן בלתי מפלה, ללא קשר לשאלה האם הם מבוססים באיחוד האירופי אם לאו. כל רכש יתנהל לפי עקרונות השקיפות, אי האפליה והתחרות.</w:t>
      </w:r>
    </w:p>
    <w:p w14:paraId="7DDD0C5C" w14:textId="77777777" w:rsidR="00E92E13" w:rsidRDefault="00E92E13" w:rsidP="006E440C">
      <w:pPr>
        <w:pStyle w:val="P00"/>
        <w:spacing w:before="72"/>
        <w:ind w:left="624" w:right="1134" w:hanging="62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באופן כללי, רכש על ידי </w:t>
      </w:r>
      <w:r>
        <w:rPr>
          <w:rStyle w:val="default"/>
          <w:rFonts w:cs="FrankRuehl"/>
          <w:sz w:val="20"/>
        </w:rPr>
        <w:t>SHARE-ERIC</w:t>
      </w:r>
      <w:r>
        <w:rPr>
          <w:rStyle w:val="default"/>
          <w:rFonts w:cs="FrankRuehl" w:hint="cs"/>
          <w:sz w:val="20"/>
          <w:rtl/>
        </w:rPr>
        <w:t xml:space="preserve"> יהיה כפוף להנחיה </w:t>
      </w:r>
      <w:r>
        <w:rPr>
          <w:rStyle w:val="default"/>
          <w:rFonts w:cs="FrankRuehl"/>
          <w:sz w:val="20"/>
        </w:rPr>
        <w:t>EU</w:t>
      </w:r>
      <w:r>
        <w:rPr>
          <w:rStyle w:val="default"/>
          <w:rFonts w:cs="FrankRuehl" w:hint="cs"/>
          <w:sz w:val="20"/>
          <w:rtl/>
        </w:rPr>
        <w:t>/2014/24 של הפרלמנט האירופי והמועצה מ-26 בפברואר 2014 בדבר רכש ציבורי, ותקנות הרכש הלאומיות בנות ההחלה.</w:t>
      </w:r>
    </w:p>
    <w:p w14:paraId="24302F38" w14:textId="77777777" w:rsidR="00E92E13" w:rsidRDefault="00E92E13" w:rsidP="006E440C">
      <w:pPr>
        <w:pStyle w:val="P00"/>
        <w:spacing w:before="72"/>
        <w:ind w:left="624" w:right="1134" w:hanging="624"/>
        <w:rPr>
          <w:rStyle w:val="default"/>
          <w:rFonts w:cs="FrankRuehl"/>
          <w:sz w:val="20"/>
          <w:rtl/>
        </w:rPr>
      </w:pPr>
      <w:r>
        <w:rPr>
          <w:rStyle w:val="default"/>
          <w:rFonts w:cs="FrankRuehl" w:hint="cs"/>
          <w:sz w:val="20"/>
          <w:rtl/>
        </w:rPr>
        <w:t>(3)</w:t>
      </w:r>
      <w:r>
        <w:rPr>
          <w:rStyle w:val="default"/>
          <w:rFonts w:cs="FrankRuehl"/>
          <w:sz w:val="20"/>
          <w:rtl/>
        </w:rPr>
        <w:tab/>
      </w:r>
      <w:r w:rsidR="00477BCC">
        <w:rPr>
          <w:rStyle w:val="default"/>
          <w:rFonts w:cs="FrankRuehl" w:hint="cs"/>
          <w:sz w:val="20"/>
          <w:rtl/>
        </w:rPr>
        <w:t xml:space="preserve">לרכישת שירותי מחקר ופיתוח הסקר שבהם ההטבות נצמחות לקהילה המדעית כולה והם ממומנים באופן מלא על ידי </w:t>
      </w:r>
      <w:r w:rsidR="00477BCC">
        <w:rPr>
          <w:rStyle w:val="default"/>
          <w:rFonts w:cs="FrankRuehl"/>
          <w:sz w:val="20"/>
        </w:rPr>
        <w:t>SHARE-ERIC</w:t>
      </w:r>
      <w:r w:rsidR="00477BCC">
        <w:rPr>
          <w:rStyle w:val="default"/>
          <w:rFonts w:cs="FrankRuehl" w:hint="cs"/>
          <w:sz w:val="20"/>
          <w:rtl/>
        </w:rPr>
        <w:t xml:space="preserve">, סעיף 14 להנחיה </w:t>
      </w:r>
      <w:r w:rsidR="00477BCC">
        <w:rPr>
          <w:rStyle w:val="default"/>
          <w:rFonts w:cs="FrankRuehl"/>
          <w:sz w:val="20"/>
        </w:rPr>
        <w:t>EU</w:t>
      </w:r>
      <w:r w:rsidR="00477BCC">
        <w:rPr>
          <w:rStyle w:val="default"/>
          <w:rFonts w:cs="FrankRuehl" w:hint="cs"/>
          <w:sz w:val="20"/>
          <w:rtl/>
        </w:rPr>
        <w:t xml:space="preserve">/2014/24 יחול באמצעות נוהל מוגבל (נספח 4). בנהלים </w:t>
      </w:r>
      <w:r w:rsidR="006E440C">
        <w:rPr>
          <w:rStyle w:val="default"/>
          <w:rFonts w:cs="FrankRuehl" w:hint="cs"/>
          <w:sz w:val="20"/>
          <w:rtl/>
        </w:rPr>
        <w:t>מוגבלים כאמור, הליכים שבמשא ומתן הכוללים פרסום הודעה על חוזה ובנוהל דו-שיח תחרותי, רשויות מתקשרות רשאיות להגביל את מספר המועמדים המתאימים שהן יזמינו להשתתף במכרז, לנהל משא ומתן או לנהל דו-שיח, ובלבד שקיים מספר מספיק של מועמדים מתאימים שהם זמינים.</w:t>
      </w:r>
    </w:p>
    <w:p w14:paraId="67902C51" w14:textId="77777777" w:rsidR="006E440C" w:rsidRDefault="006E440C" w:rsidP="006E440C">
      <w:pPr>
        <w:pStyle w:val="P00"/>
        <w:spacing w:before="72"/>
        <w:ind w:left="624" w:right="1134" w:hanging="62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פטורים ממס המבוססים על נקודה (ז) לסעיף 143(1) ונקודה (ב) לסעיף 151(1) להנחיה 2006/112/</w:t>
      </w:r>
      <w:r>
        <w:rPr>
          <w:rStyle w:val="default"/>
          <w:rFonts w:cs="FrankRuehl"/>
          <w:sz w:val="20"/>
        </w:rPr>
        <w:t>EC</w:t>
      </w:r>
      <w:r>
        <w:rPr>
          <w:rStyle w:val="default"/>
          <w:rFonts w:cs="FrankRuehl" w:hint="cs"/>
          <w:sz w:val="20"/>
          <w:rtl/>
        </w:rPr>
        <w:t xml:space="preserve"> ובהתאם לסעיפים 50 ו-51 לתקנה המיישמת של המועצה (</w:t>
      </w:r>
      <w:r>
        <w:rPr>
          <w:rStyle w:val="default"/>
          <w:rFonts w:cs="FrankRuehl"/>
          <w:sz w:val="20"/>
        </w:rPr>
        <w:t>EU</w:t>
      </w:r>
      <w:r>
        <w:rPr>
          <w:rStyle w:val="default"/>
          <w:rFonts w:cs="FrankRuehl" w:hint="cs"/>
          <w:sz w:val="20"/>
          <w:rtl/>
        </w:rPr>
        <w:t xml:space="preserve">) מס' 282/2011 (23.3.2011, </w:t>
      </w:r>
      <w:r>
        <w:rPr>
          <w:rStyle w:val="default"/>
          <w:rFonts w:cs="FrankRuehl"/>
          <w:sz w:val="20"/>
        </w:rPr>
        <w:t>OJ L 77</w:t>
      </w:r>
      <w:r>
        <w:rPr>
          <w:rStyle w:val="default"/>
          <w:rFonts w:cs="FrankRuehl" w:hint="cs"/>
          <w:sz w:val="20"/>
          <w:rtl/>
        </w:rPr>
        <w:t xml:space="preserve">, עמ' 1) יחולו על רכישות של טובין ושירותים המיועדים לשימוש רשמי של </w:t>
      </w:r>
      <w:r>
        <w:rPr>
          <w:rStyle w:val="default"/>
          <w:rFonts w:cs="FrankRuehl"/>
          <w:sz w:val="20"/>
        </w:rPr>
        <w:t>SHARE-ERIC</w:t>
      </w:r>
      <w:r>
        <w:rPr>
          <w:rStyle w:val="default"/>
          <w:rFonts w:cs="FrankRuehl" w:hint="cs"/>
          <w:sz w:val="20"/>
          <w:rtl/>
        </w:rPr>
        <w:t>, נרכשים ומשולמים על ידיו וסכום המע"מ להחזר עליהם עולה על סכום כולל של 25 יורו לחשבונית. רכש של חברות יחידות לא ייהנה מפטורים אלה.</w:t>
      </w:r>
    </w:p>
    <w:p w14:paraId="21010960" w14:textId="77777777" w:rsidR="006E440C" w:rsidRDefault="006E440C" w:rsidP="006E440C">
      <w:pPr>
        <w:pStyle w:val="P00"/>
        <w:spacing w:before="72"/>
        <w:ind w:left="624" w:right="1134"/>
        <w:rPr>
          <w:rStyle w:val="default"/>
          <w:rFonts w:cs="FrankRuehl"/>
          <w:sz w:val="20"/>
          <w:rtl/>
        </w:rPr>
      </w:pPr>
      <w:r>
        <w:rPr>
          <w:rStyle w:val="default"/>
          <w:rFonts w:cs="FrankRuehl" w:hint="cs"/>
          <w:sz w:val="20"/>
          <w:rtl/>
        </w:rPr>
        <w:t>אולם התת-ס"ק הראשון לא יחול כך שתהיה לו השפעה של סילוף תחרות.</w:t>
      </w:r>
    </w:p>
    <w:p w14:paraId="3FD17B92" w14:textId="77777777" w:rsidR="006E440C" w:rsidRDefault="006E440C" w:rsidP="006E440C">
      <w:pPr>
        <w:pStyle w:val="P00"/>
        <w:spacing w:before="72"/>
        <w:ind w:left="624" w:right="1134" w:hanging="62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ניתן להעניק לטובין חייבים בבלו כמוגדר בנקודות (ב) ו-(ג) לסעיף 1(1) להנחיית המועצה </w:t>
      </w:r>
      <w:r>
        <w:rPr>
          <w:rStyle w:val="default"/>
          <w:rFonts w:cs="FrankRuehl"/>
          <w:sz w:val="20"/>
        </w:rPr>
        <w:t>EC</w:t>
      </w:r>
      <w:r>
        <w:rPr>
          <w:rStyle w:val="default"/>
          <w:rFonts w:cs="FrankRuehl" w:hint="cs"/>
          <w:sz w:val="20"/>
          <w:rtl/>
        </w:rPr>
        <w:t xml:space="preserve">/2008/118 (14.1.2009, </w:t>
      </w:r>
      <w:r>
        <w:rPr>
          <w:rStyle w:val="default"/>
          <w:rFonts w:cs="FrankRuehl"/>
          <w:sz w:val="20"/>
        </w:rPr>
        <w:t>OJ L 9</w:t>
      </w:r>
      <w:r>
        <w:rPr>
          <w:rStyle w:val="default"/>
          <w:rFonts w:cs="FrankRuehl" w:hint="cs"/>
          <w:sz w:val="20"/>
          <w:rtl/>
        </w:rPr>
        <w:t xml:space="preserve">, עמ' 12) פטור מתשלום בלו בהתאם לנקודה (ב) לסעיף 12(1) לאותה הנחיה ובלבד שהטובין החייבים בבלו מיועדים אך ורק לשימוש רשמי של </w:t>
      </w:r>
      <w:r>
        <w:rPr>
          <w:rStyle w:val="default"/>
          <w:rFonts w:cs="FrankRuehl"/>
          <w:sz w:val="20"/>
        </w:rPr>
        <w:t>SHARE-ERIC</w:t>
      </w:r>
      <w:r>
        <w:rPr>
          <w:rStyle w:val="default"/>
          <w:rFonts w:cs="FrankRuehl" w:hint="cs"/>
          <w:sz w:val="20"/>
          <w:rtl/>
        </w:rPr>
        <w:t xml:space="preserve"> ונרכשים ומשולמים על ידיו.</w:t>
      </w:r>
    </w:p>
    <w:p w14:paraId="627E65C1" w14:textId="77777777" w:rsidR="006E440C" w:rsidRDefault="006E440C" w:rsidP="006E440C">
      <w:pPr>
        <w:pStyle w:val="P00"/>
        <w:spacing w:before="72"/>
        <w:ind w:left="624" w:right="1134"/>
        <w:rPr>
          <w:rStyle w:val="default"/>
          <w:rFonts w:cs="FrankRuehl"/>
          <w:sz w:val="20"/>
          <w:rtl/>
        </w:rPr>
      </w:pPr>
      <w:r>
        <w:rPr>
          <w:rStyle w:val="default"/>
          <w:rFonts w:cs="FrankRuehl" w:hint="cs"/>
          <w:sz w:val="20"/>
          <w:rtl/>
        </w:rPr>
        <w:t xml:space="preserve">לא יינתן פטור מבלו על טובין חייבים בבלו המיועדים לשימוש אישי של עובדי </w:t>
      </w:r>
      <w:r>
        <w:rPr>
          <w:rStyle w:val="default"/>
          <w:rFonts w:cs="FrankRuehl"/>
          <w:sz w:val="20"/>
        </w:rPr>
        <w:t>SHARE-ERIC</w:t>
      </w:r>
      <w:r>
        <w:rPr>
          <w:rStyle w:val="default"/>
          <w:rFonts w:cs="FrankRuehl" w:hint="cs"/>
          <w:sz w:val="20"/>
          <w:rtl/>
        </w:rPr>
        <w:t xml:space="preserve"> או צדדים שלישיים.</w:t>
      </w:r>
    </w:p>
    <w:p w14:paraId="26129586" w14:textId="77777777" w:rsidR="006E440C" w:rsidRDefault="006E440C" w:rsidP="007F6828">
      <w:pPr>
        <w:pStyle w:val="P00"/>
        <w:spacing w:before="72"/>
        <w:ind w:left="624" w:right="1134" w:hanging="62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ניתן להחזיר</w:t>
      </w:r>
      <w:r w:rsidR="007F6828">
        <w:rPr>
          <w:rStyle w:val="default"/>
          <w:rFonts w:cs="FrankRuehl" w:hint="cs"/>
          <w:sz w:val="20"/>
          <w:rtl/>
        </w:rPr>
        <w:t xml:space="preserve"> מסים ששולמו על מוצרי אנרגיה וחשמל כמוגדר בנקודה (א) לסעיף 1(1) להנחיה </w:t>
      </w:r>
      <w:r w:rsidR="007F6828">
        <w:rPr>
          <w:rStyle w:val="default"/>
          <w:rFonts w:cs="FrankRuehl"/>
          <w:sz w:val="20"/>
        </w:rPr>
        <w:t>EC</w:t>
      </w:r>
      <w:r w:rsidR="007F6828">
        <w:rPr>
          <w:rStyle w:val="default"/>
          <w:rFonts w:cs="FrankRuehl" w:hint="cs"/>
          <w:sz w:val="20"/>
          <w:rtl/>
        </w:rPr>
        <w:t xml:space="preserve">/2008/118 בהתאם לנקודה (ב) לסעיף 12(1) וסעיף 12(2) לאותה הנחיה ובלבד שמוצרי אנרגיה וחשמל אלה מיועדים אך ורק לשימוש רשמי של </w:t>
      </w:r>
      <w:r w:rsidR="007F6828">
        <w:rPr>
          <w:rStyle w:val="default"/>
          <w:rFonts w:cs="FrankRuehl"/>
          <w:sz w:val="20"/>
        </w:rPr>
        <w:t>SHARE-ERIC</w:t>
      </w:r>
      <w:r w:rsidR="007F6828">
        <w:rPr>
          <w:rStyle w:val="default"/>
          <w:rFonts w:cs="FrankRuehl" w:hint="cs"/>
          <w:sz w:val="20"/>
          <w:rtl/>
        </w:rPr>
        <w:t xml:space="preserve"> ונרכשים ומשולמים על ידיו, וכי סכום המס עולה על סכום כולל של 25 אירו לחשבונית.</w:t>
      </w:r>
    </w:p>
    <w:p w14:paraId="31FF0B8C" w14:textId="77777777" w:rsidR="007F6828" w:rsidRPr="00E92E13" w:rsidRDefault="007F6828" w:rsidP="007F6828">
      <w:pPr>
        <w:pStyle w:val="P00"/>
        <w:spacing w:before="72"/>
        <w:ind w:left="624" w:right="1134"/>
        <w:rPr>
          <w:rStyle w:val="default"/>
          <w:rFonts w:cs="FrankRuehl" w:hint="cs"/>
          <w:sz w:val="20"/>
          <w:rtl/>
        </w:rPr>
      </w:pPr>
      <w:r>
        <w:rPr>
          <w:rStyle w:val="default"/>
          <w:rFonts w:cs="FrankRuehl" w:hint="cs"/>
          <w:sz w:val="20"/>
          <w:rtl/>
        </w:rPr>
        <w:t xml:space="preserve">לא יינתן פטור ממס על מוצרי אנרגיה או חשמל המיועדים לשימוש אישי של עובדי </w:t>
      </w:r>
      <w:r>
        <w:rPr>
          <w:rStyle w:val="default"/>
          <w:rFonts w:cs="FrankRuehl"/>
          <w:sz w:val="20"/>
        </w:rPr>
        <w:t>SHARE-ERIC</w:t>
      </w:r>
      <w:r>
        <w:rPr>
          <w:rStyle w:val="default"/>
          <w:rFonts w:cs="FrankRuehl" w:hint="cs"/>
          <w:sz w:val="20"/>
          <w:rtl/>
        </w:rPr>
        <w:t xml:space="preserve"> או צדדים שלישיים.</w:t>
      </w:r>
    </w:p>
    <w:p w14:paraId="206AD9D8" w14:textId="77777777" w:rsidR="0050631B" w:rsidRDefault="0050631B">
      <w:pPr>
        <w:pStyle w:val="P00"/>
        <w:spacing w:before="72"/>
        <w:ind w:left="0" w:right="1134"/>
        <w:rPr>
          <w:rStyle w:val="default"/>
          <w:rFonts w:cs="FrankRuehl"/>
          <w:rtl/>
        </w:rPr>
      </w:pPr>
    </w:p>
    <w:p w14:paraId="3E340118" w14:textId="77777777" w:rsidR="0050631B" w:rsidRDefault="0050631B">
      <w:pPr>
        <w:pStyle w:val="P00"/>
        <w:spacing w:before="72"/>
        <w:ind w:left="0" w:right="1134"/>
        <w:rPr>
          <w:rStyle w:val="default"/>
          <w:rFonts w:cs="FrankRuehl" w:hint="cs"/>
          <w:rtl/>
        </w:rPr>
      </w:pPr>
    </w:p>
    <w:p w14:paraId="6C1AD673" w14:textId="77777777" w:rsidR="00332489" w:rsidRPr="003A51C3" w:rsidRDefault="007F6828" w:rsidP="003A51C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 בכסלו התש"ף (18 בדצמבר</w:t>
      </w:r>
      <w:r w:rsidR="007A1A86">
        <w:rPr>
          <w:rStyle w:val="default"/>
          <w:rFonts w:cs="FrankRuehl" w:hint="cs"/>
          <w:rtl/>
        </w:rPr>
        <w:t xml:space="preserve"> 2019</w:t>
      </w:r>
      <w:r w:rsidR="00332489" w:rsidRPr="003A51C3">
        <w:rPr>
          <w:rStyle w:val="default"/>
          <w:rFonts w:cs="FrankRuehl" w:hint="cs"/>
          <w:rtl/>
        </w:rPr>
        <w:t>)</w:t>
      </w:r>
      <w:r w:rsidR="00332489" w:rsidRPr="003A51C3">
        <w:rPr>
          <w:rFonts w:cs="FrankRuehl" w:hint="cs"/>
          <w:rtl/>
        </w:rPr>
        <w:tab/>
      </w:r>
      <w:r w:rsidR="007A1A86">
        <w:rPr>
          <w:rFonts w:cs="FrankRuehl" w:hint="cs"/>
          <w:rtl/>
        </w:rPr>
        <w:t>ישראל כ"ץ</w:t>
      </w:r>
    </w:p>
    <w:p w14:paraId="5CA1E6B9" w14:textId="77777777" w:rsidR="00332489" w:rsidRDefault="00332489" w:rsidP="003A51C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החוץ</w:t>
      </w:r>
    </w:p>
    <w:p w14:paraId="4A1D253E" w14:textId="77777777" w:rsidR="00332489" w:rsidRDefault="00332489">
      <w:pPr>
        <w:pStyle w:val="sig-0"/>
        <w:tabs>
          <w:tab w:val="clear" w:pos="4820"/>
          <w:tab w:val="center" w:pos="5670"/>
        </w:tabs>
        <w:ind w:left="0" w:right="1134"/>
        <w:rPr>
          <w:rFonts w:cs="FrankRuehl" w:hint="cs"/>
          <w:sz w:val="26"/>
          <w:rtl/>
        </w:rPr>
      </w:pPr>
    </w:p>
    <w:p w14:paraId="5B2A93CA" w14:textId="77777777" w:rsidR="00F91B0D" w:rsidRDefault="00F91B0D">
      <w:pPr>
        <w:pStyle w:val="sig-0"/>
        <w:ind w:left="0" w:right="1134"/>
        <w:rPr>
          <w:rFonts w:cs="FrankRuehl"/>
          <w:sz w:val="26"/>
          <w:rtl/>
        </w:rPr>
      </w:pPr>
    </w:p>
    <w:p w14:paraId="0B74852D" w14:textId="77777777" w:rsidR="00566119" w:rsidRDefault="00566119">
      <w:pPr>
        <w:pStyle w:val="sig-0"/>
        <w:ind w:left="0" w:right="1134"/>
        <w:rPr>
          <w:rFonts w:cs="FrankRuehl"/>
          <w:sz w:val="26"/>
          <w:rtl/>
        </w:rPr>
      </w:pPr>
    </w:p>
    <w:p w14:paraId="1025CC31" w14:textId="77777777" w:rsidR="00566119" w:rsidRDefault="00566119">
      <w:pPr>
        <w:pStyle w:val="sig-0"/>
        <w:ind w:left="0" w:right="1134"/>
        <w:rPr>
          <w:rFonts w:cs="FrankRuehl"/>
          <w:sz w:val="26"/>
          <w:rtl/>
        </w:rPr>
      </w:pPr>
    </w:p>
    <w:p w14:paraId="15173A29" w14:textId="77777777" w:rsidR="00566119" w:rsidRDefault="00566119" w:rsidP="00566119">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371EFFE0" w14:textId="77777777" w:rsidR="00F91B0D" w:rsidRPr="00566119" w:rsidRDefault="00F91B0D" w:rsidP="00566119">
      <w:pPr>
        <w:pStyle w:val="sig-0"/>
        <w:ind w:left="0" w:right="1134"/>
        <w:jc w:val="center"/>
        <w:rPr>
          <w:rFonts w:cs="David"/>
          <w:color w:val="0000FF"/>
          <w:sz w:val="26"/>
          <w:szCs w:val="24"/>
          <w:u w:val="single"/>
          <w:rtl/>
        </w:rPr>
      </w:pPr>
    </w:p>
    <w:sectPr w:rsidR="00F91B0D" w:rsidRPr="0056611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9520" w14:textId="77777777" w:rsidR="00F8446D" w:rsidRDefault="00F8446D">
      <w:r>
        <w:separator/>
      </w:r>
    </w:p>
  </w:endnote>
  <w:endnote w:type="continuationSeparator" w:id="0">
    <w:p w14:paraId="271E69A8" w14:textId="77777777" w:rsidR="00F8446D" w:rsidRDefault="00F8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5601"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B54971"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CF4F2A"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1107"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6119">
      <w:rPr>
        <w:rFonts w:hAnsi="FrankRuehl" w:cs="FrankRuehl"/>
        <w:noProof/>
        <w:sz w:val="24"/>
        <w:szCs w:val="24"/>
        <w:rtl/>
      </w:rPr>
      <w:t>3</w:t>
    </w:r>
    <w:r>
      <w:rPr>
        <w:rFonts w:hAnsi="FrankRuehl" w:cs="FrankRuehl"/>
        <w:sz w:val="24"/>
        <w:szCs w:val="24"/>
        <w:rtl/>
      </w:rPr>
      <w:fldChar w:fldCharType="end"/>
    </w:r>
  </w:p>
  <w:p w14:paraId="3C1134A7"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1DAED9"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F1A6" w14:textId="77777777" w:rsidR="00F8446D" w:rsidRDefault="00F8446D">
      <w:r>
        <w:separator/>
      </w:r>
    </w:p>
  </w:footnote>
  <w:footnote w:type="continuationSeparator" w:id="0">
    <w:p w14:paraId="2F4FB51B" w14:textId="77777777" w:rsidR="00F8446D" w:rsidRDefault="00F8446D">
      <w:r>
        <w:continuationSeparator/>
      </w:r>
    </w:p>
  </w:footnote>
  <w:footnote w:id="1">
    <w:p w14:paraId="5549F769" w14:textId="77777777" w:rsidR="000E4C9E" w:rsidRDefault="003A5FFE" w:rsidP="000E4C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Pr="006903BD">
        <w:rPr>
          <w:rFonts w:cs="FrankRuehl" w:hint="cs"/>
          <w:rtl/>
        </w:rPr>
        <w:t xml:space="preserve"> </w:t>
      </w:r>
      <w:hyperlink r:id="rId1" w:history="1">
        <w:r w:rsidRPr="000E4C9E">
          <w:rPr>
            <w:rStyle w:val="Hyperlink"/>
            <w:rFonts w:cs="FrankRuehl" w:hint="cs"/>
            <w:rtl/>
          </w:rPr>
          <w:t>ק"ת תש</w:t>
        </w:r>
        <w:r w:rsidR="0050631B" w:rsidRPr="000E4C9E">
          <w:rPr>
            <w:rStyle w:val="Hyperlink"/>
            <w:rFonts w:cs="FrankRuehl" w:hint="cs"/>
            <w:rtl/>
          </w:rPr>
          <w:t>"ף</w:t>
        </w:r>
        <w:r w:rsidRPr="000E4C9E">
          <w:rPr>
            <w:rStyle w:val="Hyperlink"/>
            <w:rFonts w:cs="FrankRuehl" w:hint="cs"/>
            <w:rtl/>
          </w:rPr>
          <w:t xml:space="preserve"> מס' </w:t>
        </w:r>
        <w:r w:rsidR="0050631B" w:rsidRPr="000E4C9E">
          <w:rPr>
            <w:rStyle w:val="Hyperlink"/>
            <w:rFonts w:cs="FrankRuehl" w:hint="cs"/>
            <w:rtl/>
          </w:rPr>
          <w:t>8310</w:t>
        </w:r>
      </w:hyperlink>
      <w:r>
        <w:rPr>
          <w:rFonts w:cs="FrankRuehl" w:hint="cs"/>
          <w:rtl/>
        </w:rPr>
        <w:t xml:space="preserve"> מיום </w:t>
      </w:r>
      <w:r w:rsidR="0050631B">
        <w:rPr>
          <w:rFonts w:cs="FrankRuehl" w:hint="cs"/>
          <w:rtl/>
        </w:rPr>
        <w:t>31.12.2019</w:t>
      </w:r>
      <w:r>
        <w:rPr>
          <w:rFonts w:cs="FrankRuehl" w:hint="cs"/>
          <w:rtl/>
        </w:rPr>
        <w:t xml:space="preserve"> עמ' </w:t>
      </w:r>
      <w:r w:rsidR="0050631B">
        <w:rPr>
          <w:rFonts w:cs="FrankRuehl" w:hint="cs"/>
          <w:rtl/>
        </w:rPr>
        <w:t>284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6DCB" w14:textId="77777777" w:rsidR="003A5FFE" w:rsidRDefault="003A5F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741B945"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6D7292"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BF8E" w14:textId="77777777" w:rsidR="003A5FFE" w:rsidRPr="00A063DF" w:rsidRDefault="003A5FFE" w:rsidP="006903BD">
    <w:pPr>
      <w:pStyle w:val="a3"/>
      <w:spacing w:line="220" w:lineRule="exact"/>
      <w:ind w:left="0" w:right="1134"/>
      <w:jc w:val="center"/>
      <w:rPr>
        <w:rFonts w:cs="FrankRuehl" w:hint="cs"/>
        <w:color w:val="000000"/>
        <w:sz w:val="22"/>
        <w:szCs w:val="28"/>
        <w:rtl/>
      </w:rPr>
    </w:pPr>
    <w:r w:rsidRPr="00A063DF">
      <w:rPr>
        <w:rFonts w:cs="FrankRuehl" w:hint="cs"/>
        <w:color w:val="000000"/>
        <w:sz w:val="22"/>
        <w:szCs w:val="28"/>
        <w:rtl/>
      </w:rPr>
      <w:t>צו חסינויות וזכויות יתר (ארגונים בין-לאומיים ומשלחות מיוחדות) (</w:t>
    </w:r>
    <w:r w:rsidR="0050631B">
      <w:rPr>
        <w:rFonts w:cs="FrankRuehl"/>
        <w:color w:val="000000"/>
        <w:sz w:val="22"/>
        <w:szCs w:val="28"/>
      </w:rPr>
      <w:t>SHARE-ERIC</w:t>
    </w:r>
    <w:r w:rsidRPr="00A063DF">
      <w:rPr>
        <w:rFonts w:cs="FrankRuehl" w:hint="cs"/>
        <w:color w:val="000000"/>
        <w:sz w:val="22"/>
        <w:szCs w:val="28"/>
        <w:rtl/>
      </w:rPr>
      <w:t>), תש</w:t>
    </w:r>
    <w:r w:rsidR="0050631B">
      <w:rPr>
        <w:rFonts w:cs="FrankRuehl" w:hint="cs"/>
        <w:color w:val="000000"/>
        <w:sz w:val="22"/>
        <w:szCs w:val="28"/>
        <w:rtl/>
      </w:rPr>
      <w:t>"ף</w:t>
    </w:r>
    <w:r w:rsidRPr="00A063DF">
      <w:rPr>
        <w:rFonts w:cs="FrankRuehl" w:hint="cs"/>
        <w:color w:val="000000"/>
        <w:sz w:val="22"/>
        <w:szCs w:val="28"/>
        <w:rtl/>
      </w:rPr>
      <w:t>-201</w:t>
    </w:r>
    <w:r w:rsidR="00A063DF" w:rsidRPr="00A063DF">
      <w:rPr>
        <w:rFonts w:cs="FrankRuehl" w:hint="cs"/>
        <w:color w:val="000000"/>
        <w:sz w:val="22"/>
        <w:szCs w:val="28"/>
        <w:rtl/>
      </w:rPr>
      <w:t>9</w:t>
    </w:r>
  </w:p>
  <w:p w14:paraId="46866B66"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D30677"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5075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261"/>
    <w:rsid w:val="00065DED"/>
    <w:rsid w:val="00094884"/>
    <w:rsid w:val="00096307"/>
    <w:rsid w:val="000A7945"/>
    <w:rsid w:val="000E439E"/>
    <w:rsid w:val="000E4C9E"/>
    <w:rsid w:val="000E5A3E"/>
    <w:rsid w:val="00140DFB"/>
    <w:rsid w:val="001C6959"/>
    <w:rsid w:val="001F680C"/>
    <w:rsid w:val="002164B1"/>
    <w:rsid w:val="00271466"/>
    <w:rsid w:val="00332489"/>
    <w:rsid w:val="003A51C3"/>
    <w:rsid w:val="003A5FFE"/>
    <w:rsid w:val="003F1946"/>
    <w:rsid w:val="003F2972"/>
    <w:rsid w:val="00477BCC"/>
    <w:rsid w:val="0050631B"/>
    <w:rsid w:val="005152AC"/>
    <w:rsid w:val="005364A8"/>
    <w:rsid w:val="00544D9C"/>
    <w:rsid w:val="00566119"/>
    <w:rsid w:val="00591EFB"/>
    <w:rsid w:val="00607C63"/>
    <w:rsid w:val="00674A6C"/>
    <w:rsid w:val="00675973"/>
    <w:rsid w:val="006903BD"/>
    <w:rsid w:val="006B0A24"/>
    <w:rsid w:val="006E440C"/>
    <w:rsid w:val="0070119F"/>
    <w:rsid w:val="00762222"/>
    <w:rsid w:val="00774BC3"/>
    <w:rsid w:val="007A1A86"/>
    <w:rsid w:val="007A7270"/>
    <w:rsid w:val="007D4A67"/>
    <w:rsid w:val="007F6828"/>
    <w:rsid w:val="00866386"/>
    <w:rsid w:val="008A2963"/>
    <w:rsid w:val="00911F71"/>
    <w:rsid w:val="009A66B3"/>
    <w:rsid w:val="009D2C88"/>
    <w:rsid w:val="00A063DF"/>
    <w:rsid w:val="00AA4E14"/>
    <w:rsid w:val="00AF0A70"/>
    <w:rsid w:val="00AF5261"/>
    <w:rsid w:val="00B43AE0"/>
    <w:rsid w:val="00B46641"/>
    <w:rsid w:val="00B9505E"/>
    <w:rsid w:val="00BC22D3"/>
    <w:rsid w:val="00C03DFF"/>
    <w:rsid w:val="00C85FC9"/>
    <w:rsid w:val="00C921A4"/>
    <w:rsid w:val="00D808C5"/>
    <w:rsid w:val="00D812C1"/>
    <w:rsid w:val="00E00D26"/>
    <w:rsid w:val="00E426EA"/>
    <w:rsid w:val="00E91967"/>
    <w:rsid w:val="00E92E13"/>
    <w:rsid w:val="00EC6812"/>
    <w:rsid w:val="00EE0583"/>
    <w:rsid w:val="00F02DF5"/>
    <w:rsid w:val="00F11A30"/>
    <w:rsid w:val="00F2202D"/>
    <w:rsid w:val="00F23C3E"/>
    <w:rsid w:val="00F8446D"/>
    <w:rsid w:val="00F91B0D"/>
    <w:rsid w:val="00FF68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3496ED"/>
  <w15:chartTrackingRefBased/>
  <w15:docId w15:val="{FAC3D4A3-A35E-496E-A392-DF7BF5BC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4745</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7340043</vt:i4>
      </vt:variant>
      <vt:variant>
        <vt:i4>0</vt:i4>
      </vt:variant>
      <vt:variant>
        <vt:i4>0</vt:i4>
      </vt:variant>
      <vt:variant>
        <vt:i4>5</vt:i4>
      </vt:variant>
      <vt:variant>
        <vt:lpwstr>http://www.nevo.co.il/Law_word/law06/tak-8310.pdf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חסינויות וזכויות יתר (ארגונים בין-לאומיים ומשלחות מיוחדות) (SHARE-ERIC), תש"ף-2019</vt:lpwstr>
  </property>
  <property fmtid="{D5CDD505-2E9C-101B-9397-08002B2CF9AE}" pid="4" name="LAWNUMBER">
    <vt:lpwstr>0214</vt:lpwstr>
  </property>
  <property fmtid="{D5CDD505-2E9C-101B-9397-08002B2CF9AE}" pid="5" name="TYPE">
    <vt:lpwstr>01</vt:lpwstr>
  </property>
  <property fmtid="{D5CDD505-2E9C-101B-9397-08002B2CF9AE}" pid="6" name="CHNAME">
    <vt:lpwstr>חסינויות וזכויות יתר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ארגונים בין-לאומיים</vt:lpwstr>
  </property>
  <property fmtid="{D5CDD505-2E9C-101B-9397-08002B2CF9AE}" pid="23" name="NOSE31">
    <vt:lpwstr>חסינויות וזכויות</vt:lpwstr>
  </property>
  <property fmtid="{D5CDD505-2E9C-101B-9397-08002B2CF9AE}" pid="24" name="NOSE41">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חסינויות וזכויות יתר (ארגונים בין-לאומיים ומשלחות מיוחדות), תשמ"ג-1983</vt:lpwstr>
  </property>
  <property fmtid="{D5CDD505-2E9C-101B-9397-08002B2CF9AE}" pid="60" name="MEKOR_SAIF1">
    <vt:lpwstr>2X</vt:lpwstr>
  </property>
  <property fmtid="{D5CDD505-2E9C-101B-9397-08002B2CF9AE}" pid="61" name="MEKORSAMCHUT">
    <vt:lpwstr/>
  </property>
  <property fmtid="{D5CDD505-2E9C-101B-9397-08002B2CF9AE}" pid="62" name="MEKOR_LAWID1">
    <vt:lpwstr>72024</vt:lpwstr>
  </property>
  <property fmtid="{D5CDD505-2E9C-101B-9397-08002B2CF9AE}" pid="63" name="LINKK1">
    <vt:lpwstr>http://www.nevo.co.il/Law_word/law06/tak-8310.pdf;‎רשומות - תקנות כלליות#פורסם ק"ת תש"ף ‏מס' 8310 #מיום 31.12.2019 עמ' 284‏</vt:lpwstr>
  </property>
</Properties>
</file>