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ADADC" w14:textId="77777777" w:rsidR="00276FFC" w:rsidRDefault="00C97B88" w:rsidP="00F47F0A">
      <w:pPr>
        <w:pStyle w:val="big-header"/>
        <w:ind w:left="0" w:right="1134"/>
        <w:rPr>
          <w:rFonts w:hint="cs"/>
          <w:rtl/>
          <w:lang w:eastAsia="en-US"/>
        </w:rPr>
      </w:pPr>
      <w:r>
        <w:rPr>
          <w:rFonts w:hint="cs"/>
          <w:rtl/>
          <w:lang w:eastAsia="en-US"/>
        </w:rPr>
        <w:t>צו לעידוד השקעות הון בחקלאות (קביעת תחומי אזורי פיתוח א' ו-ב'</w:t>
      </w:r>
      <w:r w:rsidR="00276FFC">
        <w:rPr>
          <w:rFonts w:hint="cs"/>
          <w:rtl/>
          <w:lang w:eastAsia="en-US"/>
        </w:rPr>
        <w:t xml:space="preserve">), </w:t>
      </w:r>
      <w:r w:rsidR="00F47F0A">
        <w:rPr>
          <w:rFonts w:hint="cs"/>
          <w:rtl/>
          <w:lang w:eastAsia="en-US"/>
        </w:rPr>
        <w:t>תשע"ד-2013</w:t>
      </w:r>
    </w:p>
    <w:p w14:paraId="49DADEBF" w14:textId="77777777" w:rsidR="00CD3A38" w:rsidRDefault="00CD3A38" w:rsidP="00CD3A38">
      <w:pPr>
        <w:spacing w:line="320" w:lineRule="auto"/>
        <w:jc w:val="left"/>
        <w:rPr>
          <w:rFonts w:cs="FrankRuehl" w:hint="cs"/>
          <w:szCs w:val="26"/>
          <w:rtl/>
          <w:lang w:eastAsia="en-US"/>
        </w:rPr>
      </w:pPr>
    </w:p>
    <w:p w14:paraId="6CA02165" w14:textId="77777777" w:rsidR="00730D2A" w:rsidRPr="00CD3A38" w:rsidRDefault="00730D2A" w:rsidP="00CD3A38">
      <w:pPr>
        <w:spacing w:line="320" w:lineRule="auto"/>
        <w:jc w:val="left"/>
        <w:rPr>
          <w:rFonts w:cs="FrankRuehl" w:hint="cs"/>
          <w:szCs w:val="26"/>
          <w:rtl/>
          <w:lang w:eastAsia="en-US"/>
        </w:rPr>
      </w:pPr>
    </w:p>
    <w:p w14:paraId="562E21FE" w14:textId="77777777" w:rsidR="00CD3A38" w:rsidRDefault="00CD3A38" w:rsidP="00CD3A38">
      <w:pPr>
        <w:spacing w:line="320" w:lineRule="auto"/>
        <w:jc w:val="left"/>
        <w:rPr>
          <w:rFonts w:cs="Miriam"/>
          <w:szCs w:val="22"/>
          <w:rtl/>
          <w:lang w:eastAsia="en-US"/>
        </w:rPr>
      </w:pPr>
      <w:r w:rsidRPr="00CD3A38">
        <w:rPr>
          <w:rFonts w:cs="Miriam"/>
          <w:szCs w:val="22"/>
          <w:rtl/>
          <w:lang w:eastAsia="en-US"/>
        </w:rPr>
        <w:t>חקלאות טבע וסביבה</w:t>
      </w:r>
      <w:r w:rsidRPr="00CD3A38">
        <w:rPr>
          <w:rFonts w:cs="FrankRuehl"/>
          <w:szCs w:val="26"/>
          <w:rtl/>
          <w:lang w:eastAsia="en-US"/>
        </w:rPr>
        <w:t xml:space="preserve"> – חקלאות – השקעות הון בחקלאות</w:t>
      </w:r>
    </w:p>
    <w:p w14:paraId="42DAE251" w14:textId="77777777" w:rsidR="007879CC" w:rsidRPr="00CD3A38" w:rsidRDefault="00CD3A38" w:rsidP="00CD3A38">
      <w:pPr>
        <w:spacing w:line="320" w:lineRule="auto"/>
        <w:jc w:val="left"/>
        <w:rPr>
          <w:rFonts w:cs="Miriam"/>
          <w:szCs w:val="22"/>
          <w:rtl/>
          <w:lang w:eastAsia="en-US"/>
        </w:rPr>
      </w:pPr>
      <w:r w:rsidRPr="00CD3A38">
        <w:rPr>
          <w:rFonts w:cs="Miriam"/>
          <w:szCs w:val="22"/>
          <w:rtl/>
          <w:lang w:eastAsia="en-US"/>
        </w:rPr>
        <w:t>משפט פרטי וכלכלה</w:t>
      </w:r>
      <w:r w:rsidRPr="00CD3A38">
        <w:rPr>
          <w:rFonts w:cs="FrankRuehl"/>
          <w:szCs w:val="26"/>
          <w:rtl/>
          <w:lang w:eastAsia="en-US"/>
        </w:rPr>
        <w:t xml:space="preserve"> – כספים – השקעות  – השקעות הון ועידודן</w:t>
      </w:r>
    </w:p>
    <w:p w14:paraId="62291D7B" w14:textId="77777777" w:rsidR="00276FFC" w:rsidRDefault="00276FFC">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60A33" w:rsidRPr="00460A33" w14:paraId="77DC2030" w14:textId="77777777" w:rsidTr="00460A33">
        <w:tblPrEx>
          <w:tblCellMar>
            <w:top w:w="0" w:type="dxa"/>
            <w:bottom w:w="0" w:type="dxa"/>
          </w:tblCellMar>
        </w:tblPrEx>
        <w:tc>
          <w:tcPr>
            <w:tcW w:w="1247" w:type="dxa"/>
          </w:tcPr>
          <w:p w14:paraId="5E5CF2A4" w14:textId="77777777" w:rsidR="00460A33" w:rsidRPr="00460A33" w:rsidRDefault="00460A33" w:rsidP="00460A33">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2ED55A31" w14:textId="77777777" w:rsidR="00460A33" w:rsidRPr="00460A33" w:rsidRDefault="00460A33" w:rsidP="00460A33">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49F1D0C2" w14:textId="77777777" w:rsidR="00460A33" w:rsidRPr="00460A33" w:rsidRDefault="00460A33" w:rsidP="00460A33">
            <w:pPr>
              <w:spacing w:line="240" w:lineRule="auto"/>
              <w:jc w:val="left"/>
              <w:rPr>
                <w:rStyle w:val="Hyperlink"/>
                <w:rFonts w:hint="cs"/>
                <w:rtl/>
              </w:rPr>
            </w:pPr>
            <w:hyperlink w:anchor="Seif1" w:tooltip="הגדרות" w:history="1">
              <w:r w:rsidRPr="00460A33">
                <w:rPr>
                  <w:rStyle w:val="Hyperlink"/>
                </w:rPr>
                <w:t>Go</w:t>
              </w:r>
            </w:hyperlink>
          </w:p>
        </w:tc>
        <w:tc>
          <w:tcPr>
            <w:tcW w:w="850" w:type="dxa"/>
          </w:tcPr>
          <w:p w14:paraId="5CE27CD7" w14:textId="77777777" w:rsidR="00460A33" w:rsidRPr="00460A33" w:rsidRDefault="00460A33" w:rsidP="00460A3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60A33" w:rsidRPr="00460A33" w14:paraId="429EFCFA" w14:textId="77777777" w:rsidTr="00460A33">
        <w:tblPrEx>
          <w:tblCellMar>
            <w:top w:w="0" w:type="dxa"/>
            <w:bottom w:w="0" w:type="dxa"/>
          </w:tblCellMar>
        </w:tblPrEx>
        <w:tc>
          <w:tcPr>
            <w:tcW w:w="1247" w:type="dxa"/>
          </w:tcPr>
          <w:p w14:paraId="52CBDAB5" w14:textId="77777777" w:rsidR="00460A33" w:rsidRPr="00460A33" w:rsidRDefault="00460A33" w:rsidP="00460A33">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71922299" w14:textId="77777777" w:rsidR="00460A33" w:rsidRPr="00460A33" w:rsidRDefault="00460A33" w:rsidP="00460A33">
            <w:pPr>
              <w:spacing w:line="240" w:lineRule="auto"/>
              <w:jc w:val="left"/>
              <w:rPr>
                <w:rFonts w:cs="Frankruhel" w:hint="cs"/>
                <w:sz w:val="24"/>
                <w:rtl/>
                <w:lang w:eastAsia="en-US"/>
              </w:rPr>
            </w:pPr>
            <w:r>
              <w:rPr>
                <w:rFonts w:cs="Times New Roman"/>
                <w:sz w:val="24"/>
                <w:rtl/>
                <w:lang w:eastAsia="en-US"/>
              </w:rPr>
              <w:t>אזורי פיתוח א'</w:t>
            </w:r>
          </w:p>
        </w:tc>
        <w:tc>
          <w:tcPr>
            <w:tcW w:w="567" w:type="dxa"/>
          </w:tcPr>
          <w:p w14:paraId="0E46476A" w14:textId="77777777" w:rsidR="00460A33" w:rsidRPr="00460A33" w:rsidRDefault="00460A33" w:rsidP="00460A33">
            <w:pPr>
              <w:spacing w:line="240" w:lineRule="auto"/>
              <w:jc w:val="left"/>
              <w:rPr>
                <w:rStyle w:val="Hyperlink"/>
                <w:rFonts w:hint="cs"/>
                <w:rtl/>
              </w:rPr>
            </w:pPr>
            <w:hyperlink w:anchor="Seif2" w:tooltip="אזורי פיתוח א" w:history="1">
              <w:r w:rsidRPr="00460A33">
                <w:rPr>
                  <w:rStyle w:val="Hyperlink"/>
                </w:rPr>
                <w:t>Go</w:t>
              </w:r>
            </w:hyperlink>
          </w:p>
        </w:tc>
        <w:tc>
          <w:tcPr>
            <w:tcW w:w="850" w:type="dxa"/>
          </w:tcPr>
          <w:p w14:paraId="392E5C7D" w14:textId="77777777" w:rsidR="00460A33" w:rsidRPr="00460A33" w:rsidRDefault="00460A33" w:rsidP="00460A3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60A33" w:rsidRPr="00460A33" w14:paraId="4A363796" w14:textId="77777777" w:rsidTr="00460A33">
        <w:tblPrEx>
          <w:tblCellMar>
            <w:top w:w="0" w:type="dxa"/>
            <w:bottom w:w="0" w:type="dxa"/>
          </w:tblCellMar>
        </w:tblPrEx>
        <w:tc>
          <w:tcPr>
            <w:tcW w:w="1247" w:type="dxa"/>
          </w:tcPr>
          <w:p w14:paraId="685BED4B" w14:textId="77777777" w:rsidR="00460A33" w:rsidRPr="00460A33" w:rsidRDefault="00460A33" w:rsidP="00460A33">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29AB345C" w14:textId="77777777" w:rsidR="00460A33" w:rsidRPr="00460A33" w:rsidRDefault="00460A33" w:rsidP="00460A33">
            <w:pPr>
              <w:spacing w:line="240" w:lineRule="auto"/>
              <w:jc w:val="left"/>
              <w:rPr>
                <w:rFonts w:cs="Frankruhel" w:hint="cs"/>
                <w:sz w:val="24"/>
                <w:rtl/>
                <w:lang w:eastAsia="en-US"/>
              </w:rPr>
            </w:pPr>
            <w:r>
              <w:rPr>
                <w:rFonts w:cs="Times New Roman"/>
                <w:sz w:val="24"/>
                <w:rtl/>
                <w:lang w:eastAsia="en-US"/>
              </w:rPr>
              <w:t>אזורי פיתוח ב'</w:t>
            </w:r>
          </w:p>
        </w:tc>
        <w:tc>
          <w:tcPr>
            <w:tcW w:w="567" w:type="dxa"/>
          </w:tcPr>
          <w:p w14:paraId="2804664B" w14:textId="77777777" w:rsidR="00460A33" w:rsidRPr="00460A33" w:rsidRDefault="00460A33" w:rsidP="00460A33">
            <w:pPr>
              <w:spacing w:line="240" w:lineRule="auto"/>
              <w:jc w:val="left"/>
              <w:rPr>
                <w:rStyle w:val="Hyperlink"/>
                <w:rFonts w:hint="cs"/>
                <w:rtl/>
              </w:rPr>
            </w:pPr>
            <w:hyperlink w:anchor="Seif3" w:tooltip="אזורי פיתוח ב" w:history="1">
              <w:r w:rsidRPr="00460A33">
                <w:rPr>
                  <w:rStyle w:val="Hyperlink"/>
                </w:rPr>
                <w:t>Go</w:t>
              </w:r>
            </w:hyperlink>
          </w:p>
        </w:tc>
        <w:tc>
          <w:tcPr>
            <w:tcW w:w="850" w:type="dxa"/>
          </w:tcPr>
          <w:p w14:paraId="4BD51FEA" w14:textId="77777777" w:rsidR="00460A33" w:rsidRPr="00460A33" w:rsidRDefault="00460A33" w:rsidP="00460A3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60A33" w:rsidRPr="00460A33" w14:paraId="619BBCBC" w14:textId="77777777" w:rsidTr="00460A33">
        <w:tblPrEx>
          <w:tblCellMar>
            <w:top w:w="0" w:type="dxa"/>
            <w:bottom w:w="0" w:type="dxa"/>
          </w:tblCellMar>
        </w:tblPrEx>
        <w:tc>
          <w:tcPr>
            <w:tcW w:w="1247" w:type="dxa"/>
          </w:tcPr>
          <w:p w14:paraId="1CFF5EB2" w14:textId="77777777" w:rsidR="00460A33" w:rsidRPr="00460A33" w:rsidRDefault="00460A33" w:rsidP="00460A33">
            <w:pPr>
              <w:spacing w:line="240" w:lineRule="auto"/>
              <w:jc w:val="left"/>
              <w:rPr>
                <w:rFonts w:cs="Frankruhel" w:hint="cs"/>
                <w:sz w:val="24"/>
                <w:rtl/>
                <w:lang w:eastAsia="en-US"/>
              </w:rPr>
            </w:pPr>
          </w:p>
        </w:tc>
        <w:tc>
          <w:tcPr>
            <w:tcW w:w="5669" w:type="dxa"/>
          </w:tcPr>
          <w:p w14:paraId="0BE0870B" w14:textId="77777777" w:rsidR="00460A33" w:rsidRPr="00460A33" w:rsidRDefault="00460A33" w:rsidP="00460A33">
            <w:pPr>
              <w:spacing w:line="240" w:lineRule="auto"/>
              <w:jc w:val="left"/>
              <w:rPr>
                <w:rFonts w:cs="Frankruhel" w:hint="cs"/>
                <w:sz w:val="24"/>
                <w:rtl/>
                <w:lang w:eastAsia="en-US"/>
              </w:rPr>
            </w:pPr>
            <w:r>
              <w:rPr>
                <w:rFonts w:cs="Times New Roman"/>
                <w:sz w:val="24"/>
                <w:rtl/>
                <w:lang w:eastAsia="en-US"/>
              </w:rPr>
              <w:t>תוספת ראשונה</w:t>
            </w:r>
          </w:p>
        </w:tc>
        <w:tc>
          <w:tcPr>
            <w:tcW w:w="567" w:type="dxa"/>
          </w:tcPr>
          <w:p w14:paraId="3FA96333" w14:textId="77777777" w:rsidR="00460A33" w:rsidRPr="00460A33" w:rsidRDefault="00460A33" w:rsidP="00460A33">
            <w:pPr>
              <w:spacing w:line="240" w:lineRule="auto"/>
              <w:jc w:val="left"/>
              <w:rPr>
                <w:rStyle w:val="Hyperlink"/>
                <w:rFonts w:hint="cs"/>
                <w:rtl/>
              </w:rPr>
            </w:pPr>
            <w:hyperlink w:anchor="med0" w:tooltip="תוספת ראשונה" w:history="1">
              <w:r w:rsidRPr="00460A33">
                <w:rPr>
                  <w:rStyle w:val="Hyperlink"/>
                </w:rPr>
                <w:t>Go</w:t>
              </w:r>
            </w:hyperlink>
          </w:p>
        </w:tc>
        <w:tc>
          <w:tcPr>
            <w:tcW w:w="850" w:type="dxa"/>
          </w:tcPr>
          <w:p w14:paraId="604F69D3" w14:textId="77777777" w:rsidR="00460A33" w:rsidRPr="00460A33" w:rsidRDefault="00460A33" w:rsidP="00460A3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60A33" w:rsidRPr="00460A33" w14:paraId="7A4F2682" w14:textId="77777777" w:rsidTr="00460A33">
        <w:tblPrEx>
          <w:tblCellMar>
            <w:top w:w="0" w:type="dxa"/>
            <w:bottom w:w="0" w:type="dxa"/>
          </w:tblCellMar>
        </w:tblPrEx>
        <w:tc>
          <w:tcPr>
            <w:tcW w:w="1247" w:type="dxa"/>
          </w:tcPr>
          <w:p w14:paraId="2EA46685" w14:textId="77777777" w:rsidR="00460A33" w:rsidRPr="00460A33" w:rsidRDefault="00460A33" w:rsidP="00460A33">
            <w:pPr>
              <w:spacing w:line="240" w:lineRule="auto"/>
              <w:jc w:val="left"/>
              <w:rPr>
                <w:rFonts w:cs="Frankruhel" w:hint="cs"/>
                <w:sz w:val="24"/>
                <w:rtl/>
                <w:lang w:eastAsia="en-US"/>
              </w:rPr>
            </w:pPr>
          </w:p>
        </w:tc>
        <w:tc>
          <w:tcPr>
            <w:tcW w:w="5669" w:type="dxa"/>
          </w:tcPr>
          <w:p w14:paraId="73FDB735" w14:textId="77777777" w:rsidR="00460A33" w:rsidRPr="00460A33" w:rsidRDefault="00460A33" w:rsidP="00460A33">
            <w:pPr>
              <w:spacing w:line="240" w:lineRule="auto"/>
              <w:jc w:val="left"/>
              <w:rPr>
                <w:rFonts w:cs="Frankruhel" w:hint="cs"/>
                <w:sz w:val="24"/>
                <w:rtl/>
                <w:lang w:eastAsia="en-US"/>
              </w:rPr>
            </w:pPr>
            <w:r>
              <w:rPr>
                <w:rFonts w:cs="Times New Roman"/>
                <w:sz w:val="24"/>
                <w:rtl/>
                <w:lang w:eastAsia="en-US"/>
              </w:rPr>
              <w:t>תוספת שנייה</w:t>
            </w:r>
          </w:p>
        </w:tc>
        <w:tc>
          <w:tcPr>
            <w:tcW w:w="567" w:type="dxa"/>
          </w:tcPr>
          <w:p w14:paraId="676A639D" w14:textId="77777777" w:rsidR="00460A33" w:rsidRPr="00460A33" w:rsidRDefault="00460A33" w:rsidP="00460A33">
            <w:pPr>
              <w:spacing w:line="240" w:lineRule="auto"/>
              <w:jc w:val="left"/>
              <w:rPr>
                <w:rStyle w:val="Hyperlink"/>
                <w:rFonts w:hint="cs"/>
                <w:rtl/>
              </w:rPr>
            </w:pPr>
            <w:hyperlink w:anchor="med1" w:tooltip="תוספת שנייה" w:history="1">
              <w:r w:rsidRPr="00460A33">
                <w:rPr>
                  <w:rStyle w:val="Hyperlink"/>
                </w:rPr>
                <w:t>Go</w:t>
              </w:r>
            </w:hyperlink>
          </w:p>
        </w:tc>
        <w:tc>
          <w:tcPr>
            <w:tcW w:w="850" w:type="dxa"/>
          </w:tcPr>
          <w:p w14:paraId="777C6582" w14:textId="77777777" w:rsidR="00460A33" w:rsidRPr="00460A33" w:rsidRDefault="00460A33" w:rsidP="00460A3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bl>
    <w:p w14:paraId="498533D9" w14:textId="77777777" w:rsidR="00276FFC" w:rsidRDefault="00276FFC">
      <w:pPr>
        <w:pStyle w:val="P00"/>
        <w:spacing w:before="72"/>
        <w:ind w:left="0" w:right="1134"/>
        <w:rPr>
          <w:rFonts w:hint="cs"/>
          <w:rtl/>
          <w:lang w:eastAsia="en-US"/>
        </w:rPr>
      </w:pPr>
    </w:p>
    <w:p w14:paraId="1622F7F5" w14:textId="77777777" w:rsidR="00276FFC" w:rsidRPr="007879CC" w:rsidRDefault="00276FFC" w:rsidP="00F47F0A">
      <w:pPr>
        <w:pStyle w:val="big-header"/>
        <w:ind w:left="0" w:right="1134"/>
        <w:rPr>
          <w:rStyle w:val="default"/>
          <w:rFonts w:cs="FrankRuehl" w:hint="cs"/>
          <w:szCs w:val="32"/>
          <w:rtl/>
          <w:lang w:eastAsia="en-US"/>
        </w:rPr>
      </w:pPr>
      <w:r>
        <w:rPr>
          <w:rtl/>
          <w:lang w:eastAsia="en-US"/>
        </w:rPr>
        <w:br w:type="page"/>
      </w:r>
      <w:r w:rsidR="00C97B88">
        <w:rPr>
          <w:rFonts w:hint="cs"/>
          <w:rtl/>
          <w:lang w:eastAsia="en-US"/>
        </w:rPr>
        <w:lastRenderedPageBreak/>
        <w:t xml:space="preserve">צו לעידוד השקעות הון בחקלאות (קביעת תחומי אזורי פיתוח א' ו-ב'), </w:t>
      </w:r>
      <w:r w:rsidR="00F47F0A">
        <w:rPr>
          <w:rFonts w:hint="cs"/>
          <w:rtl/>
          <w:lang w:eastAsia="en-US"/>
        </w:rPr>
        <w:t>תשע"ד-2013</w:t>
      </w:r>
      <w:r>
        <w:rPr>
          <w:rStyle w:val="default"/>
          <w:sz w:val="22"/>
          <w:szCs w:val="22"/>
          <w:rtl/>
          <w:lang w:eastAsia="en-US"/>
        </w:rPr>
        <w:footnoteReference w:customMarkFollows="1" w:id="1"/>
        <w:t>*</w:t>
      </w:r>
    </w:p>
    <w:p w14:paraId="568F299A" w14:textId="77777777" w:rsidR="00276FFC" w:rsidRDefault="00276FFC" w:rsidP="00C97B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C97B88">
        <w:rPr>
          <w:rStyle w:val="default"/>
          <w:rFonts w:cs="FrankRuehl" w:hint="cs"/>
          <w:rtl/>
          <w:lang w:eastAsia="en-US"/>
        </w:rPr>
        <w:t>סמכותנו לפי סעיף 24(ב) לחוק לעידוד השקעות הון בחקלאות, התשמ"א-1980, ובאישור ועדת הכספים של הכנסת, אנו מצווים לאמור</w:t>
      </w:r>
      <w:r>
        <w:rPr>
          <w:rStyle w:val="default"/>
          <w:rFonts w:cs="FrankRuehl" w:hint="cs"/>
          <w:rtl/>
          <w:lang w:eastAsia="en-US"/>
        </w:rPr>
        <w:t>:</w:t>
      </w:r>
    </w:p>
    <w:p w14:paraId="4D3BCA3E" w14:textId="77777777" w:rsidR="00276FFC" w:rsidRDefault="00276FFC" w:rsidP="00D611F4">
      <w:pPr>
        <w:pStyle w:val="P00"/>
        <w:spacing w:before="72"/>
        <w:ind w:left="0" w:right="1134"/>
        <w:rPr>
          <w:rStyle w:val="default"/>
          <w:rFonts w:cs="FrankRuehl" w:hint="cs"/>
          <w:rtl/>
          <w:lang w:eastAsia="en-US"/>
        </w:rPr>
      </w:pPr>
      <w:bookmarkStart w:id="0" w:name="Seif1"/>
      <w:bookmarkEnd w:id="0"/>
      <w:r>
        <w:rPr>
          <w:lang w:val="he-IL"/>
        </w:rPr>
        <w:pict w14:anchorId="674C8DC1">
          <v:rect id="_x0000_s1026" style="position:absolute;left:0;text-align:left;margin-left:464.5pt;margin-top:8.05pt;width:75.05pt;height:14.2pt;z-index:251656704" o:allowincell="f" filled="f" stroked="f" strokecolor="lime" strokeweight=".25pt">
            <v:textbox style="mso-next-textbox:#_x0000_s1026" inset="0,0,0,0">
              <w:txbxContent>
                <w:p w14:paraId="492CF1A0" w14:textId="77777777" w:rsidR="00276FFC" w:rsidRDefault="00D611F4">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D611F4">
        <w:rPr>
          <w:rStyle w:val="default"/>
          <w:rFonts w:cs="FrankRuehl" w:hint="cs"/>
          <w:rtl/>
          <w:lang w:eastAsia="en-US"/>
        </w:rPr>
        <w:t xml:space="preserve">בצו זה </w:t>
      </w:r>
      <w:r w:rsidR="00D611F4">
        <w:rPr>
          <w:rStyle w:val="default"/>
          <w:rFonts w:cs="FrankRuehl"/>
          <w:rtl/>
          <w:lang w:eastAsia="en-US"/>
        </w:rPr>
        <w:t>–</w:t>
      </w:r>
    </w:p>
    <w:p w14:paraId="09CA8970" w14:textId="77777777" w:rsidR="00D611F4" w:rsidRDefault="00D611F4" w:rsidP="00D611F4">
      <w:pPr>
        <w:pStyle w:val="P00"/>
        <w:spacing w:before="72"/>
        <w:ind w:left="0" w:right="1134"/>
        <w:rPr>
          <w:rStyle w:val="default"/>
          <w:rFonts w:cs="FrankRuehl" w:hint="cs"/>
          <w:rtl/>
          <w:lang w:eastAsia="en-US"/>
        </w:rPr>
      </w:pPr>
      <w:r>
        <w:rPr>
          <w:rStyle w:val="default"/>
          <w:rFonts w:cs="FrankRuehl" w:hint="cs"/>
          <w:rtl/>
          <w:lang w:eastAsia="en-US"/>
        </w:rPr>
        <w:tab/>
        <w:t xml:space="preserve">"אספקה של תוצרת חקלאית" </w:t>
      </w:r>
      <w:r>
        <w:rPr>
          <w:rStyle w:val="default"/>
          <w:rFonts w:cs="FrankRuehl"/>
          <w:rtl/>
          <w:lang w:eastAsia="en-US"/>
        </w:rPr>
        <w:t>–</w:t>
      </w:r>
      <w:r>
        <w:rPr>
          <w:rStyle w:val="default"/>
          <w:rFonts w:cs="FrankRuehl" w:hint="cs"/>
          <w:rtl/>
          <w:lang w:eastAsia="en-US"/>
        </w:rPr>
        <w:t xml:space="preserve"> ייצור של תוצרת חקלאית לצורך הבטחת אספקה סדירה של תוצרת חקלאית לאוכלוסיה ולייצוא בכמות, מבחר ואיכות נאותים ובמחיר סביר לצרכנים, תוך ניצול יעיל של תנאי הטבע, היכולת הכלכלית, הידע והניסיון המקצועי הגלומים במגזר החקלאי;</w:t>
      </w:r>
    </w:p>
    <w:p w14:paraId="3A074A28" w14:textId="77777777" w:rsidR="00D611F4" w:rsidRDefault="00D611F4" w:rsidP="00F47F0A">
      <w:pPr>
        <w:pStyle w:val="P00"/>
        <w:spacing w:before="72"/>
        <w:ind w:left="0" w:right="1134"/>
        <w:rPr>
          <w:rStyle w:val="default"/>
          <w:rFonts w:cs="FrankRuehl" w:hint="cs"/>
          <w:rtl/>
          <w:lang w:eastAsia="en-US"/>
        </w:rPr>
      </w:pPr>
      <w:r>
        <w:rPr>
          <w:rStyle w:val="default"/>
          <w:rFonts w:cs="FrankRuehl" w:hint="cs"/>
          <w:rtl/>
          <w:lang w:eastAsia="en-US"/>
        </w:rPr>
        <w:tab/>
        <w:t xml:space="preserve">"הטבלה" </w:t>
      </w:r>
      <w:r>
        <w:rPr>
          <w:rStyle w:val="default"/>
          <w:rFonts w:cs="FrankRuehl"/>
          <w:rtl/>
          <w:lang w:eastAsia="en-US"/>
        </w:rPr>
        <w:t>–</w:t>
      </w:r>
      <w:r>
        <w:rPr>
          <w:rStyle w:val="default"/>
          <w:rFonts w:cs="FrankRuehl" w:hint="cs"/>
          <w:rtl/>
          <w:lang w:eastAsia="en-US"/>
        </w:rPr>
        <w:t xml:space="preserve"> הטבלה שבתוספת הראשונה וב</w:t>
      </w:r>
      <w:r w:rsidR="00F47F0A">
        <w:rPr>
          <w:rStyle w:val="default"/>
          <w:rFonts w:cs="FrankRuehl" w:hint="cs"/>
          <w:rtl/>
          <w:lang w:eastAsia="en-US"/>
        </w:rPr>
        <w:t xml:space="preserve">ה מצוין הניקוד של כל אזור בארץ </w:t>
      </w:r>
      <w:r>
        <w:rPr>
          <w:rStyle w:val="default"/>
          <w:rFonts w:cs="FrankRuehl" w:hint="cs"/>
          <w:rtl/>
          <w:lang w:eastAsia="en-US"/>
        </w:rPr>
        <w:t>לפי מידת תרומתה של החקלאות באותו אזור לכל אחת ממטרות הצו;</w:t>
      </w:r>
    </w:p>
    <w:p w14:paraId="44B4AA69" w14:textId="77777777" w:rsidR="00D611F4" w:rsidRDefault="00D611F4" w:rsidP="00D611F4">
      <w:pPr>
        <w:pStyle w:val="P00"/>
        <w:spacing w:before="72"/>
        <w:ind w:left="0" w:right="1134"/>
        <w:rPr>
          <w:rStyle w:val="default"/>
          <w:rFonts w:cs="FrankRuehl" w:hint="cs"/>
          <w:rtl/>
          <w:lang w:eastAsia="en-US"/>
        </w:rPr>
      </w:pPr>
      <w:r>
        <w:rPr>
          <w:rStyle w:val="default"/>
          <w:rFonts w:cs="FrankRuehl" w:hint="cs"/>
          <w:rtl/>
          <w:lang w:eastAsia="en-US"/>
        </w:rPr>
        <w:tab/>
        <w:t xml:space="preserve">"המפה" </w:t>
      </w:r>
      <w:r>
        <w:rPr>
          <w:rStyle w:val="default"/>
          <w:rFonts w:cs="FrankRuehl"/>
          <w:rtl/>
          <w:lang w:eastAsia="en-US"/>
        </w:rPr>
        <w:t>–</w:t>
      </w:r>
      <w:r>
        <w:rPr>
          <w:rStyle w:val="default"/>
          <w:rFonts w:cs="FrankRuehl" w:hint="cs"/>
          <w:rtl/>
          <w:lang w:eastAsia="en-US"/>
        </w:rPr>
        <w:t xml:space="preserve"> המפה שבתוספת השני</w:t>
      </w:r>
      <w:r w:rsidR="00F47F0A">
        <w:rPr>
          <w:rStyle w:val="default"/>
          <w:rFonts w:cs="FrankRuehl" w:hint="cs"/>
          <w:rtl/>
          <w:lang w:eastAsia="en-US"/>
        </w:rPr>
        <w:t>י</w:t>
      </w:r>
      <w:r>
        <w:rPr>
          <w:rStyle w:val="default"/>
          <w:rFonts w:cs="FrankRuehl" w:hint="cs"/>
          <w:rtl/>
          <w:lang w:eastAsia="en-US"/>
        </w:rPr>
        <w:t xml:space="preserve">ה אשר העתק ממנה, בקנה מידה של 1:130,000, מופקד לעיון הציבור במינהל ההשקעות בחקלאות במשרד החקלאות ופיתוח הכפר (להלן </w:t>
      </w:r>
      <w:r>
        <w:rPr>
          <w:rStyle w:val="default"/>
          <w:rFonts w:cs="FrankRuehl"/>
          <w:rtl/>
          <w:lang w:eastAsia="en-US"/>
        </w:rPr>
        <w:t>–</w:t>
      </w:r>
      <w:r>
        <w:rPr>
          <w:rStyle w:val="default"/>
          <w:rFonts w:cs="FrankRuehl" w:hint="cs"/>
          <w:rtl/>
          <w:lang w:eastAsia="en-US"/>
        </w:rPr>
        <w:t xml:space="preserve"> המשרד), בבית דגן ובמחוזות המשרד, בימים ובשעות שהמשרד פתוח לקהל וכן באתר האינטרנט של המשרד; העתק נוסף של המפה, במדיה מגנטית, נמצא ברשות לתכנון של המשרד בבית דגן, ואם אין התאמה בין המפות, גוברת המפה המופקדת ברשות לתכנון;</w:t>
      </w:r>
    </w:p>
    <w:p w14:paraId="61FA5BBA" w14:textId="77777777" w:rsidR="00D611F4" w:rsidRDefault="00D611F4" w:rsidP="00D611F4">
      <w:pPr>
        <w:pStyle w:val="P00"/>
        <w:spacing w:before="72"/>
        <w:ind w:left="0" w:right="1134"/>
        <w:rPr>
          <w:rStyle w:val="default"/>
          <w:rFonts w:cs="FrankRuehl" w:hint="cs"/>
          <w:rtl/>
          <w:lang w:eastAsia="en-US"/>
        </w:rPr>
      </w:pPr>
      <w:r>
        <w:rPr>
          <w:rStyle w:val="default"/>
          <w:rFonts w:cs="FrankRuehl" w:hint="cs"/>
          <w:rtl/>
          <w:lang w:eastAsia="en-US"/>
        </w:rPr>
        <w:tab/>
        <w:t xml:space="preserve">"המשרד" </w:t>
      </w:r>
      <w:r>
        <w:rPr>
          <w:rStyle w:val="default"/>
          <w:rFonts w:cs="FrankRuehl"/>
          <w:rtl/>
          <w:lang w:eastAsia="en-US"/>
        </w:rPr>
        <w:t>–</w:t>
      </w:r>
      <w:r>
        <w:rPr>
          <w:rStyle w:val="default"/>
          <w:rFonts w:cs="FrankRuehl" w:hint="cs"/>
          <w:rtl/>
          <w:lang w:eastAsia="en-US"/>
        </w:rPr>
        <w:t xml:space="preserve"> משרד החקלאות ופיתוח הכפר;</w:t>
      </w:r>
    </w:p>
    <w:p w14:paraId="5C9DE9C0" w14:textId="77777777" w:rsidR="00D611F4" w:rsidRDefault="00D611F4" w:rsidP="00D611F4">
      <w:pPr>
        <w:pStyle w:val="P00"/>
        <w:spacing w:before="72"/>
        <w:ind w:left="0" w:right="1134"/>
        <w:rPr>
          <w:rStyle w:val="default"/>
          <w:rFonts w:cs="FrankRuehl" w:hint="cs"/>
          <w:rtl/>
          <w:lang w:eastAsia="en-US"/>
        </w:rPr>
      </w:pPr>
      <w:r>
        <w:rPr>
          <w:rStyle w:val="default"/>
          <w:rFonts w:cs="FrankRuehl" w:hint="cs"/>
          <w:rtl/>
          <w:lang w:eastAsia="en-US"/>
        </w:rPr>
        <w:tab/>
        <w:t xml:space="preserve">"מטרות הצו" </w:t>
      </w:r>
      <w:r>
        <w:rPr>
          <w:rStyle w:val="default"/>
          <w:rFonts w:cs="FrankRuehl"/>
          <w:rtl/>
          <w:lang w:eastAsia="en-US"/>
        </w:rPr>
        <w:t>–</w:t>
      </w:r>
    </w:p>
    <w:p w14:paraId="311D5C45" w14:textId="77777777" w:rsidR="00D611F4" w:rsidRDefault="00D611F4" w:rsidP="00D611F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אספקת תוצרת חקלאית;</w:t>
      </w:r>
    </w:p>
    <w:p w14:paraId="4E697DA9" w14:textId="77777777" w:rsidR="00D611F4" w:rsidRDefault="00D611F4" w:rsidP="00D611F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תועלות אקולוגיות;</w:t>
      </w:r>
    </w:p>
    <w:p w14:paraId="400697E2" w14:textId="77777777" w:rsidR="00D611F4" w:rsidRDefault="00D611F4" w:rsidP="00D611F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פריסת התיישבות;</w:t>
      </w:r>
    </w:p>
    <w:p w14:paraId="57FD8A9F" w14:textId="77777777" w:rsidR="00D611F4" w:rsidRDefault="00D611F4" w:rsidP="00D611F4">
      <w:pPr>
        <w:pStyle w:val="P00"/>
        <w:spacing w:before="72"/>
        <w:ind w:left="0" w:right="1134"/>
        <w:rPr>
          <w:rStyle w:val="default"/>
          <w:rFonts w:cs="FrankRuehl" w:hint="cs"/>
          <w:rtl/>
          <w:lang w:eastAsia="en-US"/>
        </w:rPr>
      </w:pPr>
      <w:r>
        <w:rPr>
          <w:rStyle w:val="default"/>
          <w:rFonts w:cs="FrankRuehl" w:hint="cs"/>
          <w:rtl/>
          <w:lang w:eastAsia="en-US"/>
        </w:rPr>
        <w:tab/>
        <w:t xml:space="preserve">"פריסת התיישבות" </w:t>
      </w:r>
      <w:r>
        <w:rPr>
          <w:rStyle w:val="default"/>
          <w:rFonts w:cs="FrankRuehl"/>
          <w:rtl/>
          <w:lang w:eastAsia="en-US"/>
        </w:rPr>
        <w:t>–</w:t>
      </w:r>
      <w:r>
        <w:rPr>
          <w:rStyle w:val="default"/>
          <w:rFonts w:cs="FrankRuehl" w:hint="cs"/>
          <w:rtl/>
          <w:lang w:eastAsia="en-US"/>
        </w:rPr>
        <w:t xml:space="preserve"> יישוב הפריפריה, שמירה על קרקעות המדינה וגבולותיה;</w:t>
      </w:r>
    </w:p>
    <w:p w14:paraId="34BBE794" w14:textId="77777777" w:rsidR="00D611F4" w:rsidRDefault="00D611F4" w:rsidP="00D611F4">
      <w:pPr>
        <w:pStyle w:val="P00"/>
        <w:spacing w:before="72"/>
        <w:ind w:left="0" w:right="1134"/>
        <w:rPr>
          <w:rStyle w:val="default"/>
          <w:rFonts w:cs="FrankRuehl" w:hint="cs"/>
          <w:rtl/>
          <w:lang w:eastAsia="en-US"/>
        </w:rPr>
      </w:pPr>
      <w:r>
        <w:rPr>
          <w:rStyle w:val="default"/>
          <w:rFonts w:cs="FrankRuehl" w:hint="cs"/>
          <w:rtl/>
          <w:lang w:eastAsia="en-US"/>
        </w:rPr>
        <w:tab/>
        <w:t xml:space="preserve">"תועלות אקולוגיות" </w:t>
      </w:r>
      <w:r>
        <w:rPr>
          <w:rStyle w:val="default"/>
          <w:rFonts w:cs="FrankRuehl"/>
          <w:rtl/>
          <w:lang w:eastAsia="en-US"/>
        </w:rPr>
        <w:t>–</w:t>
      </w:r>
      <w:r>
        <w:rPr>
          <w:rStyle w:val="default"/>
          <w:rFonts w:cs="FrankRuehl" w:hint="cs"/>
          <w:rtl/>
          <w:lang w:eastAsia="en-US"/>
        </w:rPr>
        <w:t xml:space="preserve"> שמירה על מקורות מים ומשאבי טבע לרבות להבטחת חלחול מי גשמים, קליטת פסולת עירונית, קליטת מי קולחין, בוצה וגזם ושמירה על שטחים פתוחים;</w:t>
      </w:r>
    </w:p>
    <w:p w14:paraId="27AFEF3C" w14:textId="77777777" w:rsidR="00D611F4" w:rsidRDefault="00D611F4" w:rsidP="00D611F4">
      <w:pPr>
        <w:pStyle w:val="P00"/>
        <w:spacing w:before="72"/>
        <w:ind w:left="0" w:right="1134"/>
        <w:rPr>
          <w:rStyle w:val="default"/>
          <w:rFonts w:cs="FrankRuehl" w:hint="cs"/>
          <w:rtl/>
          <w:lang w:eastAsia="en-US"/>
        </w:rPr>
      </w:pPr>
      <w:r>
        <w:rPr>
          <w:rStyle w:val="default"/>
          <w:rFonts w:cs="FrankRuehl" w:hint="cs"/>
          <w:rtl/>
          <w:lang w:eastAsia="en-US"/>
        </w:rPr>
        <w:tab/>
        <w:t xml:space="preserve">"תכנית חקלאית-אקולוגית" </w:t>
      </w:r>
      <w:r>
        <w:rPr>
          <w:rStyle w:val="default"/>
          <w:rFonts w:cs="FrankRuehl"/>
          <w:rtl/>
          <w:lang w:eastAsia="en-US"/>
        </w:rPr>
        <w:t>–</w:t>
      </w:r>
      <w:r>
        <w:rPr>
          <w:rStyle w:val="default"/>
          <w:rFonts w:cs="FrankRuehl" w:hint="cs"/>
          <w:rtl/>
          <w:lang w:eastAsia="en-US"/>
        </w:rPr>
        <w:t xml:space="preserve"> תכנית שמגשימה אחת או יותר מהתועלות האקולוגיות;</w:t>
      </w:r>
    </w:p>
    <w:p w14:paraId="23799BCD" w14:textId="77777777" w:rsidR="00D611F4" w:rsidRDefault="00D611F4" w:rsidP="00D611F4">
      <w:pPr>
        <w:pStyle w:val="P00"/>
        <w:spacing w:before="72"/>
        <w:ind w:left="0" w:right="1134"/>
        <w:rPr>
          <w:rStyle w:val="default"/>
          <w:rFonts w:cs="FrankRuehl" w:hint="cs"/>
          <w:rtl/>
          <w:lang w:eastAsia="en-US"/>
        </w:rPr>
      </w:pPr>
      <w:r>
        <w:rPr>
          <w:rStyle w:val="default"/>
          <w:rFonts w:cs="FrankRuehl" w:hint="cs"/>
          <w:rtl/>
          <w:lang w:eastAsia="en-US"/>
        </w:rPr>
        <w:tab/>
        <w:t xml:space="preserve">"תרומה בינונית" </w:t>
      </w:r>
      <w:r>
        <w:rPr>
          <w:rStyle w:val="default"/>
          <w:rFonts w:cs="FrankRuehl"/>
          <w:rtl/>
          <w:lang w:eastAsia="en-US"/>
        </w:rPr>
        <w:t>–</w:t>
      </w:r>
      <w:r>
        <w:rPr>
          <w:rStyle w:val="default"/>
          <w:rFonts w:cs="FrankRuehl" w:hint="cs"/>
          <w:rtl/>
          <w:lang w:eastAsia="en-US"/>
        </w:rPr>
        <w:t xml:space="preserve"> מידת תרומתה של החקלאות באזור למטרה ממטרות הצו היא בינונית, ומזכה את האזור ב-5 נקודות בטבלה לעניין אותה מטרה;</w:t>
      </w:r>
    </w:p>
    <w:p w14:paraId="0B5ADA7F" w14:textId="77777777" w:rsidR="00D611F4" w:rsidRDefault="00D611F4" w:rsidP="00D611F4">
      <w:pPr>
        <w:pStyle w:val="P00"/>
        <w:spacing w:before="72"/>
        <w:ind w:left="0" w:right="1134"/>
        <w:rPr>
          <w:rStyle w:val="default"/>
          <w:rFonts w:cs="FrankRuehl" w:hint="cs"/>
          <w:rtl/>
          <w:lang w:eastAsia="en-US"/>
        </w:rPr>
      </w:pPr>
      <w:r>
        <w:rPr>
          <w:rStyle w:val="default"/>
          <w:rFonts w:cs="FrankRuehl" w:hint="cs"/>
          <w:rtl/>
          <w:lang w:eastAsia="en-US"/>
        </w:rPr>
        <w:tab/>
        <w:t xml:space="preserve">"תרומה מועטה" </w:t>
      </w:r>
      <w:r>
        <w:rPr>
          <w:rStyle w:val="default"/>
          <w:rFonts w:cs="FrankRuehl"/>
          <w:rtl/>
          <w:lang w:eastAsia="en-US"/>
        </w:rPr>
        <w:t>–</w:t>
      </w:r>
      <w:r>
        <w:rPr>
          <w:rStyle w:val="default"/>
          <w:rFonts w:cs="FrankRuehl" w:hint="cs"/>
          <w:rtl/>
          <w:lang w:eastAsia="en-US"/>
        </w:rPr>
        <w:t xml:space="preserve"> מידת תרומתה של החקלאות באזור למטרה ממטרות הצו היא מועטה ומזכה את האזור ב-3 נקודות בטבלה לעניין אותה מטרה;</w:t>
      </w:r>
    </w:p>
    <w:p w14:paraId="377CF781" w14:textId="77777777" w:rsidR="00D611F4" w:rsidRDefault="00D611F4" w:rsidP="00D611F4">
      <w:pPr>
        <w:pStyle w:val="P00"/>
        <w:spacing w:before="72"/>
        <w:ind w:left="0" w:right="1134"/>
        <w:rPr>
          <w:rStyle w:val="default"/>
          <w:rFonts w:cs="FrankRuehl" w:hint="cs"/>
          <w:rtl/>
          <w:lang w:eastAsia="en-US"/>
        </w:rPr>
      </w:pPr>
      <w:r>
        <w:rPr>
          <w:rStyle w:val="default"/>
          <w:rFonts w:cs="FrankRuehl" w:hint="cs"/>
          <w:rtl/>
          <w:lang w:eastAsia="en-US"/>
        </w:rPr>
        <w:tab/>
        <w:t xml:space="preserve">"תרומה רבה" </w:t>
      </w:r>
      <w:r>
        <w:rPr>
          <w:rStyle w:val="default"/>
          <w:rFonts w:cs="FrankRuehl"/>
          <w:rtl/>
          <w:lang w:eastAsia="en-US"/>
        </w:rPr>
        <w:t>–</w:t>
      </w:r>
      <w:r>
        <w:rPr>
          <w:rStyle w:val="default"/>
          <w:rFonts w:cs="FrankRuehl" w:hint="cs"/>
          <w:rtl/>
          <w:lang w:eastAsia="en-US"/>
        </w:rPr>
        <w:t xml:space="preserve"> מידת תרומתה של החקלאות באזור למטרה ממטרות הצו היא רבה ומזכה את האזור ב-10 נקודות בטבלה לעניין אותה מטרה.</w:t>
      </w:r>
    </w:p>
    <w:p w14:paraId="502FE0A3" w14:textId="77777777" w:rsidR="00276FFC" w:rsidRDefault="00276FFC" w:rsidP="00F47F0A">
      <w:pPr>
        <w:pStyle w:val="P00"/>
        <w:spacing w:before="72"/>
        <w:ind w:left="0" w:right="1134"/>
        <w:rPr>
          <w:rStyle w:val="default"/>
          <w:rFonts w:cs="FrankRuehl" w:hint="cs"/>
          <w:rtl/>
          <w:lang w:eastAsia="en-US"/>
        </w:rPr>
      </w:pPr>
      <w:bookmarkStart w:id="1" w:name="Seif2"/>
      <w:bookmarkEnd w:id="1"/>
      <w:r>
        <w:rPr>
          <w:rFonts w:cs="Miriam"/>
          <w:szCs w:val="32"/>
          <w:rtl/>
          <w:lang w:val="he-IL"/>
        </w:rPr>
        <w:pict w14:anchorId="7EE72589">
          <v:shapetype id="_x0000_t202" coordsize="21600,21600" o:spt="202" path="m,l,21600r21600,l21600,xe">
            <v:stroke joinstyle="miter"/>
            <v:path gradientshapeok="t" o:connecttype="rect"/>
          </v:shapetype>
          <v:shape id="_x0000_s1147" type="#_x0000_t202" style="position:absolute;left:0;text-align:left;margin-left:470.25pt;margin-top:7.1pt;width:1in;height:11.85pt;z-index:251657728" filled="f" stroked="f">
            <v:textbox inset="1mm,0,1mm,0">
              <w:txbxContent>
                <w:p w14:paraId="42AC0892" w14:textId="77777777" w:rsidR="00276FFC" w:rsidRDefault="00D611F4">
                  <w:pPr>
                    <w:spacing w:line="160" w:lineRule="exact"/>
                    <w:jc w:val="left"/>
                    <w:rPr>
                      <w:rFonts w:cs="Miriam" w:hint="cs"/>
                      <w:szCs w:val="18"/>
                      <w:rtl/>
                      <w:lang w:eastAsia="en-US"/>
                    </w:rPr>
                  </w:pPr>
                  <w:r>
                    <w:rPr>
                      <w:rFonts w:cs="Miriam" w:hint="cs"/>
                      <w:szCs w:val="18"/>
                      <w:rtl/>
                      <w:lang w:eastAsia="en-US"/>
                    </w:rPr>
                    <w:t>אזורי פיתוח א'</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D611F4">
        <w:rPr>
          <w:rStyle w:val="default"/>
          <w:rFonts w:cs="FrankRuehl" w:hint="cs"/>
          <w:rtl/>
          <w:lang w:eastAsia="en-US"/>
        </w:rPr>
        <w:t xml:space="preserve">אזורי פיתוח א' מתוחמים במפה בצבע ורוד, והם כוללים כל אזור שמידת התרומה של החקלאות שבו היא רבה בנוגע לכל אחת ממטרות הצו, באופן המקנה לו, לפי הטבלה, 30 נקודות לכל היותר (להלן </w:t>
      </w:r>
      <w:r w:rsidR="00D611F4">
        <w:rPr>
          <w:rStyle w:val="default"/>
          <w:rFonts w:cs="FrankRuehl"/>
          <w:rtl/>
          <w:lang w:eastAsia="en-US"/>
        </w:rPr>
        <w:t>–</w:t>
      </w:r>
      <w:r w:rsidR="00D611F4">
        <w:rPr>
          <w:rStyle w:val="default"/>
          <w:rFonts w:cs="FrankRuehl" w:hint="cs"/>
          <w:rtl/>
          <w:lang w:eastAsia="en-US"/>
        </w:rPr>
        <w:t xml:space="preserve"> תרומה מרבית); אם אין התאמה בין הטבלה לבין המפה, גוברת המפה.</w:t>
      </w:r>
    </w:p>
    <w:p w14:paraId="57C99FB6" w14:textId="77777777" w:rsidR="00C97B88" w:rsidRDefault="00C97B88" w:rsidP="00D611F4">
      <w:pPr>
        <w:pStyle w:val="P00"/>
        <w:spacing w:before="72"/>
        <w:ind w:left="0" w:right="1134"/>
        <w:rPr>
          <w:rStyle w:val="default"/>
          <w:rFonts w:cs="FrankRuehl" w:hint="cs"/>
          <w:rtl/>
          <w:lang w:eastAsia="en-US"/>
        </w:rPr>
      </w:pPr>
      <w:bookmarkStart w:id="2" w:name="Seif3"/>
      <w:bookmarkEnd w:id="2"/>
      <w:r>
        <w:rPr>
          <w:lang w:val="he-IL"/>
        </w:rPr>
        <w:pict w14:anchorId="049805B7">
          <v:rect id="_x0000_s1254" style="position:absolute;left:0;text-align:left;margin-left:464.5pt;margin-top:8.05pt;width:75.05pt;height:13.55pt;z-index:251658752" o:allowincell="f" filled="f" stroked="f" strokecolor="lime" strokeweight=".25pt">
            <v:textbox style="mso-next-textbox:#_x0000_s1254" inset="0,0,0,0">
              <w:txbxContent>
                <w:p w14:paraId="342B552C" w14:textId="77777777" w:rsidR="00C97B88" w:rsidRDefault="00D611F4" w:rsidP="00C97B88">
                  <w:pPr>
                    <w:spacing w:line="160" w:lineRule="exact"/>
                    <w:jc w:val="left"/>
                    <w:rPr>
                      <w:rFonts w:cs="Miriam" w:hint="cs"/>
                      <w:noProof/>
                      <w:szCs w:val="18"/>
                      <w:rtl/>
                      <w:lang w:eastAsia="en-US"/>
                    </w:rPr>
                  </w:pPr>
                  <w:r>
                    <w:rPr>
                      <w:rFonts w:cs="Miriam" w:hint="cs"/>
                      <w:szCs w:val="18"/>
                      <w:rtl/>
                      <w:lang w:eastAsia="en-US"/>
                    </w:rPr>
                    <w:t>אזורי פיתוח ב'</w:t>
                  </w:r>
                </w:p>
              </w:txbxContent>
            </v:textbox>
            <w10:anchorlock/>
          </v:rect>
        </w:pict>
      </w:r>
      <w:r w:rsidR="00D611F4">
        <w:rPr>
          <w:rStyle w:val="big-number"/>
          <w:rFonts w:hint="cs"/>
          <w:rtl/>
          <w:lang w:eastAsia="en-US"/>
        </w:rPr>
        <w:t>3</w:t>
      </w:r>
      <w:r>
        <w:rPr>
          <w:rStyle w:val="default"/>
          <w:rFonts w:cs="FrankRuehl"/>
          <w:rtl/>
        </w:rPr>
        <w:t>.</w:t>
      </w:r>
      <w:r>
        <w:rPr>
          <w:rStyle w:val="default"/>
          <w:rFonts w:cs="FrankRuehl"/>
          <w:rtl/>
        </w:rPr>
        <w:tab/>
      </w:r>
      <w:r w:rsidR="00D611F4">
        <w:rPr>
          <w:rStyle w:val="default"/>
          <w:rFonts w:cs="FrankRuehl" w:hint="cs"/>
          <w:rtl/>
          <w:lang w:eastAsia="en-US"/>
        </w:rPr>
        <w:t xml:space="preserve">אזורי פיתוח ב' הם </w:t>
      </w:r>
      <w:r w:rsidR="00D611F4">
        <w:rPr>
          <w:rStyle w:val="default"/>
          <w:rFonts w:cs="FrankRuehl"/>
          <w:rtl/>
          <w:lang w:eastAsia="en-US"/>
        </w:rPr>
        <w:t>–</w:t>
      </w:r>
    </w:p>
    <w:p w14:paraId="6D00E26E" w14:textId="77777777" w:rsidR="00D611F4" w:rsidRDefault="00D611F4" w:rsidP="00F47F0A">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כל אזור שמידת התרומה של החקלאות שבו פחותה מתרומה מרבית, אך ניקודה בטבלה אינו נופל מ-20 נקודות; אזורים אלה מתוחמים במפה בצבע סגול למעט אזור מימי החופין בים התיכון שמתוחם במפה בצבע תכלת;</w:t>
      </w:r>
      <w:r w:rsidR="00F47F0A">
        <w:rPr>
          <w:rStyle w:val="default"/>
          <w:rFonts w:cs="FrankRuehl" w:hint="cs"/>
          <w:rtl/>
          <w:lang w:eastAsia="en-US"/>
        </w:rPr>
        <w:t xml:space="preserve"> אם </w:t>
      </w:r>
      <w:r>
        <w:rPr>
          <w:rStyle w:val="default"/>
          <w:rFonts w:cs="FrankRuehl" w:hint="cs"/>
          <w:rtl/>
          <w:lang w:eastAsia="en-US"/>
        </w:rPr>
        <w:t>אין התאמה בין הטבלה לבין המפה, גוברת המפה;</w:t>
      </w:r>
    </w:p>
    <w:p w14:paraId="55FB8394" w14:textId="77777777" w:rsidR="00D611F4" w:rsidRDefault="00D611F4" w:rsidP="00D611F4">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לעניין תכנית חקלאית-אקולוגית </w:t>
      </w:r>
      <w:r>
        <w:rPr>
          <w:rStyle w:val="default"/>
          <w:rFonts w:cs="FrankRuehl"/>
          <w:rtl/>
          <w:lang w:eastAsia="en-US"/>
        </w:rPr>
        <w:t>–</w:t>
      </w:r>
      <w:r>
        <w:rPr>
          <w:rStyle w:val="default"/>
          <w:rFonts w:cs="FrankRuehl" w:hint="cs"/>
          <w:rtl/>
          <w:lang w:eastAsia="en-US"/>
        </w:rPr>
        <w:t xml:space="preserve"> כל אזור שמידת תרומתה של החקלאות לתועלות האקולוגיות שבו היא בינונית לפחות.</w:t>
      </w:r>
    </w:p>
    <w:p w14:paraId="2CF3BB14" w14:textId="77777777" w:rsidR="00F47F0A" w:rsidRDefault="00F47F0A">
      <w:pPr>
        <w:pStyle w:val="P00"/>
        <w:spacing w:before="72"/>
        <w:ind w:left="0" w:right="1134"/>
        <w:rPr>
          <w:rFonts w:hint="cs"/>
          <w:rtl/>
          <w:lang w:eastAsia="en-US"/>
        </w:rPr>
      </w:pPr>
    </w:p>
    <w:p w14:paraId="1D5CC0D7" w14:textId="77777777" w:rsidR="00C97B88" w:rsidRPr="00F47F0A" w:rsidRDefault="00C97B88" w:rsidP="00F47F0A">
      <w:pPr>
        <w:pStyle w:val="medium2-header"/>
        <w:keepLines w:val="0"/>
        <w:spacing w:before="72"/>
        <w:ind w:left="0" w:right="1134"/>
        <w:rPr>
          <w:rFonts w:hint="cs"/>
          <w:noProof/>
          <w:rtl/>
        </w:rPr>
      </w:pPr>
      <w:bookmarkStart w:id="3" w:name="med0"/>
      <w:bookmarkEnd w:id="3"/>
      <w:r w:rsidRPr="00F47F0A">
        <w:rPr>
          <w:rFonts w:hint="cs"/>
          <w:noProof/>
          <w:rtl/>
        </w:rPr>
        <w:t>תוספת</w:t>
      </w:r>
      <w:r w:rsidR="00D611F4" w:rsidRPr="00F47F0A">
        <w:rPr>
          <w:rFonts w:hint="cs"/>
          <w:noProof/>
          <w:rtl/>
        </w:rPr>
        <w:t xml:space="preserve"> ראשונה</w:t>
      </w:r>
    </w:p>
    <w:p w14:paraId="0A5EB207" w14:textId="77777777" w:rsidR="00D611F4" w:rsidRPr="00D403FA" w:rsidRDefault="00D611F4" w:rsidP="00D403FA">
      <w:pPr>
        <w:pStyle w:val="P00"/>
        <w:spacing w:before="72"/>
        <w:ind w:left="0" w:right="1134"/>
        <w:jc w:val="center"/>
        <w:rPr>
          <w:rFonts w:hint="cs"/>
          <w:sz w:val="24"/>
          <w:szCs w:val="24"/>
          <w:rtl/>
          <w:lang w:eastAsia="en-US"/>
        </w:rPr>
      </w:pPr>
      <w:r w:rsidRPr="00D403FA">
        <w:rPr>
          <w:rFonts w:hint="cs"/>
          <w:sz w:val="24"/>
          <w:szCs w:val="24"/>
          <w:rtl/>
          <w:lang w:eastAsia="en-US"/>
        </w:rPr>
        <w:t>(סעיף 1)</w:t>
      </w:r>
    </w:p>
    <w:p w14:paraId="6DE079AD" w14:textId="77777777" w:rsidR="00D611F4" w:rsidRPr="00D403FA" w:rsidRDefault="00D611F4" w:rsidP="00D403FA">
      <w:pPr>
        <w:pStyle w:val="P00"/>
        <w:spacing w:before="72"/>
        <w:ind w:left="0" w:right="1134"/>
        <w:jc w:val="center"/>
        <w:rPr>
          <w:rFonts w:hint="cs"/>
          <w:b/>
          <w:bCs/>
          <w:sz w:val="22"/>
          <w:szCs w:val="22"/>
          <w:rtl/>
          <w:lang w:eastAsia="en-US"/>
        </w:rPr>
      </w:pPr>
      <w:r w:rsidRPr="00D403FA">
        <w:rPr>
          <w:rFonts w:hint="cs"/>
          <w:b/>
          <w:bCs/>
          <w:sz w:val="22"/>
          <w:szCs w:val="22"/>
          <w:rtl/>
          <w:lang w:eastAsia="en-US"/>
        </w:rPr>
        <w:t>מידת התרומה למטרות הצו</w:t>
      </w:r>
    </w:p>
    <w:tbl>
      <w:tblPr>
        <w:tblStyle w:val="a8"/>
        <w:bidiVisual/>
        <w:tblW w:w="7938" w:type="dxa"/>
        <w:tblInd w:w="113" w:type="dxa"/>
        <w:tblLook w:val="01E0" w:firstRow="1" w:lastRow="1" w:firstColumn="1" w:lastColumn="1" w:noHBand="0" w:noVBand="0"/>
      </w:tblPr>
      <w:tblGrid>
        <w:gridCol w:w="817"/>
        <w:gridCol w:w="1155"/>
        <w:gridCol w:w="1320"/>
        <w:gridCol w:w="1320"/>
        <w:gridCol w:w="2030"/>
        <w:gridCol w:w="1296"/>
      </w:tblGrid>
      <w:tr w:rsidR="00C45EBB" w:rsidRPr="00C45EBB" w14:paraId="7DC2DAA6" w14:textId="77777777" w:rsidTr="00C45EBB">
        <w:tc>
          <w:tcPr>
            <w:tcW w:w="817" w:type="dxa"/>
            <w:vAlign w:val="bottom"/>
          </w:tcPr>
          <w:p w14:paraId="57A8D875" w14:textId="77777777" w:rsidR="00C45EBB" w:rsidRPr="00C45EBB" w:rsidRDefault="00C45EBB" w:rsidP="00C45EBB">
            <w:pPr>
              <w:pStyle w:val="P00"/>
              <w:spacing w:before="0" w:line="240" w:lineRule="auto"/>
              <w:ind w:left="0"/>
              <w:jc w:val="center"/>
              <w:rPr>
                <w:rStyle w:val="default"/>
                <w:rFonts w:cs="FrankRuehl" w:hint="cs"/>
                <w:sz w:val="22"/>
                <w:szCs w:val="22"/>
                <w:rtl/>
              </w:rPr>
            </w:pPr>
            <w:r>
              <w:rPr>
                <w:rStyle w:val="default"/>
                <w:rFonts w:cs="FrankRuehl" w:hint="cs"/>
                <w:sz w:val="22"/>
                <w:szCs w:val="22"/>
                <w:rtl/>
              </w:rPr>
              <w:t>סך כל הנקודות</w:t>
            </w:r>
          </w:p>
        </w:tc>
        <w:tc>
          <w:tcPr>
            <w:tcW w:w="1155" w:type="dxa"/>
            <w:vAlign w:val="bottom"/>
          </w:tcPr>
          <w:p w14:paraId="0384EF07" w14:textId="77777777" w:rsidR="00C45EBB" w:rsidRPr="00C45EBB" w:rsidRDefault="00C45EBB" w:rsidP="00C45EBB">
            <w:pPr>
              <w:pStyle w:val="P00"/>
              <w:spacing w:before="0" w:line="240" w:lineRule="auto"/>
              <w:ind w:left="0"/>
              <w:jc w:val="center"/>
              <w:rPr>
                <w:rStyle w:val="default"/>
                <w:rFonts w:cs="FrankRuehl" w:hint="cs"/>
                <w:sz w:val="22"/>
                <w:szCs w:val="22"/>
                <w:rtl/>
              </w:rPr>
            </w:pPr>
            <w:r>
              <w:rPr>
                <w:rStyle w:val="default"/>
                <w:rFonts w:cs="FrankRuehl" w:hint="cs"/>
                <w:sz w:val="22"/>
                <w:szCs w:val="22"/>
                <w:rtl/>
              </w:rPr>
              <w:t>פריסת התיישבות</w:t>
            </w:r>
          </w:p>
        </w:tc>
        <w:tc>
          <w:tcPr>
            <w:tcW w:w="1320" w:type="dxa"/>
            <w:vAlign w:val="bottom"/>
          </w:tcPr>
          <w:p w14:paraId="1DD28FF3" w14:textId="77777777" w:rsidR="00C45EBB" w:rsidRPr="00C45EBB" w:rsidRDefault="00C45EBB" w:rsidP="00C45EBB">
            <w:pPr>
              <w:pStyle w:val="P00"/>
              <w:spacing w:before="0" w:line="240" w:lineRule="auto"/>
              <w:ind w:left="0"/>
              <w:jc w:val="center"/>
              <w:rPr>
                <w:rStyle w:val="default"/>
                <w:rFonts w:cs="FrankRuehl" w:hint="cs"/>
                <w:sz w:val="22"/>
                <w:szCs w:val="22"/>
                <w:rtl/>
              </w:rPr>
            </w:pPr>
            <w:r>
              <w:rPr>
                <w:rStyle w:val="default"/>
                <w:rFonts w:cs="FrankRuehl" w:hint="cs"/>
                <w:sz w:val="22"/>
                <w:szCs w:val="22"/>
                <w:rtl/>
              </w:rPr>
              <w:t>תועלות אקולוגיות</w:t>
            </w:r>
          </w:p>
        </w:tc>
        <w:tc>
          <w:tcPr>
            <w:tcW w:w="1320" w:type="dxa"/>
            <w:vAlign w:val="bottom"/>
          </w:tcPr>
          <w:p w14:paraId="31E91DCB" w14:textId="77777777" w:rsidR="00C45EBB" w:rsidRPr="00C45EBB" w:rsidRDefault="00C45EBB" w:rsidP="00C45EBB">
            <w:pPr>
              <w:pStyle w:val="P00"/>
              <w:spacing w:before="0" w:line="240" w:lineRule="auto"/>
              <w:ind w:left="0"/>
              <w:jc w:val="center"/>
              <w:rPr>
                <w:rStyle w:val="default"/>
                <w:rFonts w:cs="FrankRuehl" w:hint="cs"/>
                <w:sz w:val="22"/>
                <w:szCs w:val="22"/>
                <w:rtl/>
              </w:rPr>
            </w:pPr>
            <w:r>
              <w:rPr>
                <w:rStyle w:val="default"/>
                <w:rFonts w:cs="FrankRuehl" w:hint="cs"/>
                <w:sz w:val="22"/>
                <w:szCs w:val="22"/>
                <w:rtl/>
              </w:rPr>
              <w:t>אספקת תוצרת חקלאית</w:t>
            </w:r>
          </w:p>
        </w:tc>
        <w:tc>
          <w:tcPr>
            <w:tcW w:w="2030" w:type="dxa"/>
            <w:vAlign w:val="bottom"/>
          </w:tcPr>
          <w:p w14:paraId="5728B748" w14:textId="77777777" w:rsidR="00C45EBB" w:rsidRPr="00C45EBB" w:rsidRDefault="00C45EBB" w:rsidP="00C45EBB">
            <w:pPr>
              <w:pStyle w:val="P00"/>
              <w:spacing w:before="0" w:line="240" w:lineRule="auto"/>
              <w:ind w:left="0"/>
              <w:jc w:val="center"/>
              <w:rPr>
                <w:rStyle w:val="default"/>
                <w:rFonts w:cs="FrankRuehl" w:hint="cs"/>
                <w:sz w:val="22"/>
                <w:szCs w:val="22"/>
                <w:rtl/>
              </w:rPr>
            </w:pPr>
            <w:r>
              <w:rPr>
                <w:rStyle w:val="default"/>
                <w:rFonts w:cs="FrankRuehl" w:hint="cs"/>
                <w:sz w:val="22"/>
                <w:szCs w:val="22"/>
                <w:rtl/>
              </w:rPr>
              <w:t>אזור</w:t>
            </w:r>
          </w:p>
        </w:tc>
        <w:tc>
          <w:tcPr>
            <w:tcW w:w="1296" w:type="dxa"/>
            <w:vAlign w:val="bottom"/>
          </w:tcPr>
          <w:p w14:paraId="500C2A62" w14:textId="77777777" w:rsidR="00C45EBB" w:rsidRPr="00C45EBB" w:rsidRDefault="00C45EBB" w:rsidP="00C45EBB">
            <w:pPr>
              <w:pStyle w:val="P00"/>
              <w:spacing w:before="0" w:line="240" w:lineRule="auto"/>
              <w:ind w:left="0"/>
              <w:jc w:val="center"/>
              <w:rPr>
                <w:rStyle w:val="default"/>
                <w:rFonts w:cs="FrankRuehl" w:hint="cs"/>
                <w:sz w:val="22"/>
                <w:szCs w:val="22"/>
                <w:rtl/>
              </w:rPr>
            </w:pPr>
            <w:r>
              <w:rPr>
                <w:rStyle w:val="default"/>
                <w:rFonts w:cs="FrankRuehl" w:hint="cs"/>
                <w:sz w:val="22"/>
                <w:szCs w:val="22"/>
                <w:rtl/>
              </w:rPr>
              <w:t>מחוז</w:t>
            </w:r>
          </w:p>
        </w:tc>
      </w:tr>
      <w:tr w:rsidR="00C45EBB" w:rsidRPr="00C45EBB" w14:paraId="67071EF8" w14:textId="77777777" w:rsidTr="00C45EBB">
        <w:tc>
          <w:tcPr>
            <w:tcW w:w="817" w:type="dxa"/>
          </w:tcPr>
          <w:p w14:paraId="374B0578"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30</w:t>
            </w:r>
          </w:p>
        </w:tc>
        <w:tc>
          <w:tcPr>
            <w:tcW w:w="1155" w:type="dxa"/>
          </w:tcPr>
          <w:p w14:paraId="541DAD7A"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רבה</w:t>
            </w:r>
          </w:p>
        </w:tc>
        <w:tc>
          <w:tcPr>
            <w:tcW w:w="1320" w:type="dxa"/>
          </w:tcPr>
          <w:p w14:paraId="1194F5D8"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רבה</w:t>
            </w:r>
          </w:p>
        </w:tc>
        <w:tc>
          <w:tcPr>
            <w:tcW w:w="1320" w:type="dxa"/>
          </w:tcPr>
          <w:p w14:paraId="1AA80EC0"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רבה</w:t>
            </w:r>
          </w:p>
        </w:tc>
        <w:tc>
          <w:tcPr>
            <w:tcW w:w="2030" w:type="dxa"/>
          </w:tcPr>
          <w:p w14:paraId="3C4AA6D4"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גליל עליון (מצפון לכביש עכו-עמיעד)</w:t>
            </w:r>
          </w:p>
        </w:tc>
        <w:tc>
          <w:tcPr>
            <w:tcW w:w="1296" w:type="dxa"/>
          </w:tcPr>
          <w:p w14:paraId="16EEED02"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צפון</w:t>
            </w:r>
          </w:p>
        </w:tc>
      </w:tr>
      <w:tr w:rsidR="00C45EBB" w:rsidRPr="00C45EBB" w14:paraId="034F9DF5" w14:textId="77777777" w:rsidTr="00C45EBB">
        <w:tc>
          <w:tcPr>
            <w:tcW w:w="817" w:type="dxa"/>
          </w:tcPr>
          <w:p w14:paraId="173C079B"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20</w:t>
            </w:r>
          </w:p>
        </w:tc>
        <w:tc>
          <w:tcPr>
            <w:tcW w:w="1155" w:type="dxa"/>
          </w:tcPr>
          <w:p w14:paraId="74FC9448"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בינונית</w:t>
            </w:r>
          </w:p>
        </w:tc>
        <w:tc>
          <w:tcPr>
            <w:tcW w:w="1320" w:type="dxa"/>
          </w:tcPr>
          <w:p w14:paraId="18D1793B"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רבה</w:t>
            </w:r>
          </w:p>
        </w:tc>
        <w:tc>
          <w:tcPr>
            <w:tcW w:w="1320" w:type="dxa"/>
          </w:tcPr>
          <w:p w14:paraId="372495A4"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בינונית</w:t>
            </w:r>
          </w:p>
        </w:tc>
        <w:tc>
          <w:tcPr>
            <w:tcW w:w="2030" w:type="dxa"/>
          </w:tcPr>
          <w:p w14:paraId="118D79D1"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גליל תחתון (מדרום לכביש עכו-עמיעד)</w:t>
            </w:r>
          </w:p>
        </w:tc>
        <w:tc>
          <w:tcPr>
            <w:tcW w:w="1296" w:type="dxa"/>
          </w:tcPr>
          <w:p w14:paraId="7B86F41B" w14:textId="77777777" w:rsidR="00C45EBB" w:rsidRPr="00C45EBB" w:rsidRDefault="00C45EBB" w:rsidP="00C45EBB">
            <w:pPr>
              <w:pStyle w:val="P00"/>
              <w:spacing w:before="0" w:line="240" w:lineRule="auto"/>
              <w:ind w:left="0"/>
              <w:jc w:val="left"/>
              <w:rPr>
                <w:rStyle w:val="default"/>
                <w:rFonts w:cs="FrankRuehl" w:hint="cs"/>
                <w:szCs w:val="24"/>
                <w:rtl/>
              </w:rPr>
            </w:pPr>
          </w:p>
        </w:tc>
      </w:tr>
      <w:tr w:rsidR="00C45EBB" w:rsidRPr="00C45EBB" w14:paraId="729A4697" w14:textId="77777777" w:rsidTr="00C45EBB">
        <w:tc>
          <w:tcPr>
            <w:tcW w:w="817" w:type="dxa"/>
          </w:tcPr>
          <w:p w14:paraId="206B7415"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16</w:t>
            </w:r>
          </w:p>
        </w:tc>
        <w:tc>
          <w:tcPr>
            <w:tcW w:w="1155" w:type="dxa"/>
          </w:tcPr>
          <w:p w14:paraId="55510652"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מועטה</w:t>
            </w:r>
          </w:p>
        </w:tc>
        <w:tc>
          <w:tcPr>
            <w:tcW w:w="1320" w:type="dxa"/>
          </w:tcPr>
          <w:p w14:paraId="206C6D94"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רבה</w:t>
            </w:r>
          </w:p>
        </w:tc>
        <w:tc>
          <w:tcPr>
            <w:tcW w:w="1320" w:type="dxa"/>
          </w:tcPr>
          <w:p w14:paraId="7AB48EEB"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מועטה</w:t>
            </w:r>
          </w:p>
        </w:tc>
        <w:tc>
          <w:tcPr>
            <w:tcW w:w="2030" w:type="dxa"/>
          </w:tcPr>
          <w:p w14:paraId="7BDBCA7F"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מטרופולין חיפה</w:t>
            </w:r>
          </w:p>
        </w:tc>
        <w:tc>
          <w:tcPr>
            <w:tcW w:w="1296" w:type="dxa"/>
          </w:tcPr>
          <w:p w14:paraId="39F47787" w14:textId="77777777" w:rsidR="00C45EBB" w:rsidRPr="00C45EBB" w:rsidRDefault="00C45EBB" w:rsidP="00C45EBB">
            <w:pPr>
              <w:pStyle w:val="P00"/>
              <w:spacing w:before="0" w:line="240" w:lineRule="auto"/>
              <w:ind w:left="0"/>
              <w:jc w:val="left"/>
              <w:rPr>
                <w:rStyle w:val="default"/>
                <w:rFonts w:cs="FrankRuehl" w:hint="cs"/>
                <w:szCs w:val="24"/>
                <w:rtl/>
              </w:rPr>
            </w:pPr>
          </w:p>
        </w:tc>
      </w:tr>
      <w:tr w:rsidR="00C45EBB" w:rsidRPr="00C45EBB" w14:paraId="25BAA630" w14:textId="77777777" w:rsidTr="00C45EBB">
        <w:tc>
          <w:tcPr>
            <w:tcW w:w="817" w:type="dxa"/>
          </w:tcPr>
          <w:p w14:paraId="2392F2D0"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30</w:t>
            </w:r>
          </w:p>
        </w:tc>
        <w:tc>
          <w:tcPr>
            <w:tcW w:w="1155" w:type="dxa"/>
          </w:tcPr>
          <w:p w14:paraId="5779D507"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רבה</w:t>
            </w:r>
          </w:p>
        </w:tc>
        <w:tc>
          <w:tcPr>
            <w:tcW w:w="1320" w:type="dxa"/>
          </w:tcPr>
          <w:p w14:paraId="77EE419C"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רבה</w:t>
            </w:r>
          </w:p>
        </w:tc>
        <w:tc>
          <w:tcPr>
            <w:tcW w:w="1320" w:type="dxa"/>
          </w:tcPr>
          <w:p w14:paraId="0A57F63C"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רבה</w:t>
            </w:r>
          </w:p>
        </w:tc>
        <w:tc>
          <w:tcPr>
            <w:tcW w:w="2030" w:type="dxa"/>
          </w:tcPr>
          <w:p w14:paraId="6B8E1950"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עמקי המזרח</w:t>
            </w:r>
          </w:p>
        </w:tc>
        <w:tc>
          <w:tcPr>
            <w:tcW w:w="1296" w:type="dxa"/>
          </w:tcPr>
          <w:p w14:paraId="456DF0C6"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עמקים</w:t>
            </w:r>
          </w:p>
        </w:tc>
      </w:tr>
      <w:tr w:rsidR="00C45EBB" w:rsidRPr="00C45EBB" w14:paraId="031C6191" w14:textId="77777777" w:rsidTr="00C45EBB">
        <w:tc>
          <w:tcPr>
            <w:tcW w:w="817" w:type="dxa"/>
          </w:tcPr>
          <w:p w14:paraId="04863324"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25</w:t>
            </w:r>
          </w:p>
        </w:tc>
        <w:tc>
          <w:tcPr>
            <w:tcW w:w="1155" w:type="dxa"/>
          </w:tcPr>
          <w:p w14:paraId="2B64AC4B"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בינונית</w:t>
            </w:r>
          </w:p>
        </w:tc>
        <w:tc>
          <w:tcPr>
            <w:tcW w:w="1320" w:type="dxa"/>
          </w:tcPr>
          <w:p w14:paraId="50328646"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רבה</w:t>
            </w:r>
          </w:p>
        </w:tc>
        <w:tc>
          <w:tcPr>
            <w:tcW w:w="1320" w:type="dxa"/>
          </w:tcPr>
          <w:p w14:paraId="3D55FAC7"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רבה</w:t>
            </w:r>
          </w:p>
        </w:tc>
        <w:tc>
          <w:tcPr>
            <w:tcW w:w="2030" w:type="dxa"/>
          </w:tcPr>
          <w:p w14:paraId="26828BD9"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החלק המערבי</w:t>
            </w:r>
          </w:p>
        </w:tc>
        <w:tc>
          <w:tcPr>
            <w:tcW w:w="1296" w:type="dxa"/>
          </w:tcPr>
          <w:p w14:paraId="793BB85B" w14:textId="77777777" w:rsidR="00C45EBB" w:rsidRPr="00C45EBB" w:rsidRDefault="00C45EBB" w:rsidP="00C45EBB">
            <w:pPr>
              <w:pStyle w:val="P00"/>
              <w:spacing w:before="0" w:line="240" w:lineRule="auto"/>
              <w:ind w:left="0"/>
              <w:jc w:val="left"/>
              <w:rPr>
                <w:rStyle w:val="default"/>
                <w:rFonts w:cs="FrankRuehl" w:hint="cs"/>
                <w:szCs w:val="24"/>
                <w:rtl/>
              </w:rPr>
            </w:pPr>
          </w:p>
        </w:tc>
      </w:tr>
      <w:tr w:rsidR="00C45EBB" w:rsidRPr="00C45EBB" w14:paraId="295263EE" w14:textId="77777777" w:rsidTr="00C45EBB">
        <w:tc>
          <w:tcPr>
            <w:tcW w:w="817" w:type="dxa"/>
          </w:tcPr>
          <w:p w14:paraId="72D7975E"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11</w:t>
            </w:r>
          </w:p>
        </w:tc>
        <w:tc>
          <w:tcPr>
            <w:tcW w:w="1155" w:type="dxa"/>
          </w:tcPr>
          <w:p w14:paraId="53D6EAFC"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מועטה</w:t>
            </w:r>
          </w:p>
        </w:tc>
        <w:tc>
          <w:tcPr>
            <w:tcW w:w="1320" w:type="dxa"/>
          </w:tcPr>
          <w:p w14:paraId="77019D6F"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בינונית</w:t>
            </w:r>
          </w:p>
        </w:tc>
        <w:tc>
          <w:tcPr>
            <w:tcW w:w="1320" w:type="dxa"/>
          </w:tcPr>
          <w:p w14:paraId="1401AE01"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מועטה</w:t>
            </w:r>
          </w:p>
        </w:tc>
        <w:tc>
          <w:tcPr>
            <w:tcW w:w="2030" w:type="dxa"/>
          </w:tcPr>
          <w:p w14:paraId="1F7D0773"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אזור חיפה</w:t>
            </w:r>
          </w:p>
        </w:tc>
        <w:tc>
          <w:tcPr>
            <w:tcW w:w="1296" w:type="dxa"/>
          </w:tcPr>
          <w:p w14:paraId="1A938B44" w14:textId="77777777" w:rsidR="00C45EBB" w:rsidRPr="00C45EBB" w:rsidRDefault="00C45EBB" w:rsidP="00C45EBB">
            <w:pPr>
              <w:pStyle w:val="P00"/>
              <w:spacing w:before="0" w:line="240" w:lineRule="auto"/>
              <w:ind w:left="0"/>
              <w:jc w:val="left"/>
              <w:rPr>
                <w:rStyle w:val="default"/>
                <w:rFonts w:cs="FrankRuehl" w:hint="cs"/>
                <w:szCs w:val="24"/>
                <w:rtl/>
              </w:rPr>
            </w:pPr>
          </w:p>
        </w:tc>
      </w:tr>
      <w:tr w:rsidR="00C45EBB" w:rsidRPr="00C45EBB" w14:paraId="0DEA436A" w14:textId="77777777" w:rsidTr="00C45EBB">
        <w:tc>
          <w:tcPr>
            <w:tcW w:w="817" w:type="dxa"/>
          </w:tcPr>
          <w:p w14:paraId="58D06C17"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18</w:t>
            </w:r>
          </w:p>
        </w:tc>
        <w:tc>
          <w:tcPr>
            <w:tcW w:w="1155" w:type="dxa"/>
          </w:tcPr>
          <w:p w14:paraId="4ECF84E6"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מועטה</w:t>
            </w:r>
          </w:p>
        </w:tc>
        <w:tc>
          <w:tcPr>
            <w:tcW w:w="1320" w:type="dxa"/>
          </w:tcPr>
          <w:p w14:paraId="0A2A3D88"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רבה</w:t>
            </w:r>
          </w:p>
        </w:tc>
        <w:tc>
          <w:tcPr>
            <w:tcW w:w="1320" w:type="dxa"/>
          </w:tcPr>
          <w:p w14:paraId="118732F2"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בינונית</w:t>
            </w:r>
          </w:p>
        </w:tc>
        <w:tc>
          <w:tcPr>
            <w:tcW w:w="2030" w:type="dxa"/>
          </w:tcPr>
          <w:p w14:paraId="0ABA2BA9"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מישור החוף</w:t>
            </w:r>
          </w:p>
        </w:tc>
        <w:tc>
          <w:tcPr>
            <w:tcW w:w="1296" w:type="dxa"/>
          </w:tcPr>
          <w:p w14:paraId="23299949"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המרכז</w:t>
            </w:r>
          </w:p>
        </w:tc>
      </w:tr>
      <w:tr w:rsidR="00C45EBB" w:rsidRPr="00C45EBB" w14:paraId="5DC06FA2" w14:textId="77777777" w:rsidTr="00C45EBB">
        <w:tc>
          <w:tcPr>
            <w:tcW w:w="817" w:type="dxa"/>
          </w:tcPr>
          <w:p w14:paraId="6F28EE54"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23</w:t>
            </w:r>
          </w:p>
        </w:tc>
        <w:tc>
          <w:tcPr>
            <w:tcW w:w="1155" w:type="dxa"/>
          </w:tcPr>
          <w:p w14:paraId="104C0EE5"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רבה</w:t>
            </w:r>
          </w:p>
        </w:tc>
        <w:tc>
          <w:tcPr>
            <w:tcW w:w="1320" w:type="dxa"/>
          </w:tcPr>
          <w:p w14:paraId="50E41CC4"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רבה</w:t>
            </w:r>
          </w:p>
        </w:tc>
        <w:tc>
          <w:tcPr>
            <w:tcW w:w="1320" w:type="dxa"/>
          </w:tcPr>
          <w:p w14:paraId="5A30602C"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מועטה</w:t>
            </w:r>
          </w:p>
        </w:tc>
        <w:tc>
          <w:tcPr>
            <w:tcW w:w="2030" w:type="dxa"/>
          </w:tcPr>
          <w:p w14:paraId="0CE65114"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קו התפר</w:t>
            </w:r>
          </w:p>
        </w:tc>
        <w:tc>
          <w:tcPr>
            <w:tcW w:w="1296" w:type="dxa"/>
          </w:tcPr>
          <w:p w14:paraId="7AC11E9D" w14:textId="77777777" w:rsidR="00C45EBB" w:rsidRPr="00C45EBB" w:rsidRDefault="00C45EBB" w:rsidP="00C45EBB">
            <w:pPr>
              <w:pStyle w:val="P00"/>
              <w:spacing w:before="0" w:line="240" w:lineRule="auto"/>
              <w:ind w:left="0"/>
              <w:jc w:val="left"/>
              <w:rPr>
                <w:rStyle w:val="default"/>
                <w:rFonts w:cs="FrankRuehl" w:hint="cs"/>
                <w:szCs w:val="24"/>
                <w:rtl/>
              </w:rPr>
            </w:pPr>
          </w:p>
        </w:tc>
      </w:tr>
      <w:tr w:rsidR="00C45EBB" w:rsidRPr="00C45EBB" w14:paraId="3045A44F" w14:textId="77777777" w:rsidTr="00C45EBB">
        <w:tc>
          <w:tcPr>
            <w:tcW w:w="817" w:type="dxa"/>
          </w:tcPr>
          <w:p w14:paraId="3A878AC5"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18</w:t>
            </w:r>
          </w:p>
        </w:tc>
        <w:tc>
          <w:tcPr>
            <w:tcW w:w="1155" w:type="dxa"/>
          </w:tcPr>
          <w:p w14:paraId="7CE37723"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מועטה</w:t>
            </w:r>
          </w:p>
        </w:tc>
        <w:tc>
          <w:tcPr>
            <w:tcW w:w="1320" w:type="dxa"/>
          </w:tcPr>
          <w:p w14:paraId="3D5E762C"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רבה</w:t>
            </w:r>
          </w:p>
        </w:tc>
        <w:tc>
          <w:tcPr>
            <w:tcW w:w="1320" w:type="dxa"/>
          </w:tcPr>
          <w:p w14:paraId="6BE84495"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בינונית</w:t>
            </w:r>
          </w:p>
        </w:tc>
        <w:tc>
          <w:tcPr>
            <w:tcW w:w="2030" w:type="dxa"/>
          </w:tcPr>
          <w:p w14:paraId="489BF6B9"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מטרופולין דן</w:t>
            </w:r>
          </w:p>
        </w:tc>
        <w:tc>
          <w:tcPr>
            <w:tcW w:w="1296" w:type="dxa"/>
          </w:tcPr>
          <w:p w14:paraId="2254F4F2" w14:textId="77777777" w:rsidR="00C45EBB" w:rsidRPr="00C45EBB" w:rsidRDefault="00C45EBB" w:rsidP="00C45EBB">
            <w:pPr>
              <w:pStyle w:val="P00"/>
              <w:spacing w:before="0" w:line="240" w:lineRule="auto"/>
              <w:ind w:left="0"/>
              <w:jc w:val="left"/>
              <w:rPr>
                <w:rStyle w:val="default"/>
                <w:rFonts w:cs="FrankRuehl" w:hint="cs"/>
                <w:szCs w:val="24"/>
                <w:rtl/>
              </w:rPr>
            </w:pPr>
          </w:p>
        </w:tc>
      </w:tr>
      <w:tr w:rsidR="00C45EBB" w:rsidRPr="00C45EBB" w14:paraId="416FFE3D" w14:textId="77777777" w:rsidTr="00C45EBB">
        <w:tc>
          <w:tcPr>
            <w:tcW w:w="817" w:type="dxa"/>
          </w:tcPr>
          <w:p w14:paraId="7ABD2D9B"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23</w:t>
            </w:r>
          </w:p>
        </w:tc>
        <w:tc>
          <w:tcPr>
            <w:tcW w:w="1155" w:type="dxa"/>
          </w:tcPr>
          <w:p w14:paraId="468B9B61"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מועטה</w:t>
            </w:r>
          </w:p>
        </w:tc>
        <w:tc>
          <w:tcPr>
            <w:tcW w:w="1320" w:type="dxa"/>
          </w:tcPr>
          <w:p w14:paraId="74D4ACAE"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רבה</w:t>
            </w:r>
          </w:p>
        </w:tc>
        <w:tc>
          <w:tcPr>
            <w:tcW w:w="1320" w:type="dxa"/>
          </w:tcPr>
          <w:p w14:paraId="1DF18440"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רבה</w:t>
            </w:r>
          </w:p>
        </w:tc>
        <w:tc>
          <w:tcPr>
            <w:tcW w:w="2030" w:type="dxa"/>
          </w:tcPr>
          <w:p w14:paraId="556B5A99"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הים התיכון</w:t>
            </w:r>
          </w:p>
        </w:tc>
        <w:tc>
          <w:tcPr>
            <w:tcW w:w="1296" w:type="dxa"/>
          </w:tcPr>
          <w:p w14:paraId="127F8723" w14:textId="77777777" w:rsidR="00C45EBB" w:rsidRPr="00C45EBB" w:rsidRDefault="00C45EBB" w:rsidP="00C45EBB">
            <w:pPr>
              <w:pStyle w:val="P00"/>
              <w:spacing w:before="0" w:line="240" w:lineRule="auto"/>
              <w:ind w:left="0"/>
              <w:jc w:val="left"/>
              <w:rPr>
                <w:rStyle w:val="default"/>
                <w:rFonts w:cs="FrankRuehl" w:hint="cs"/>
                <w:szCs w:val="24"/>
                <w:rtl/>
              </w:rPr>
            </w:pPr>
          </w:p>
        </w:tc>
      </w:tr>
      <w:tr w:rsidR="00C45EBB" w:rsidRPr="00C45EBB" w14:paraId="4C39755F" w14:textId="77777777" w:rsidTr="00C45EBB">
        <w:tc>
          <w:tcPr>
            <w:tcW w:w="817" w:type="dxa"/>
          </w:tcPr>
          <w:p w14:paraId="007950AB"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20</w:t>
            </w:r>
          </w:p>
        </w:tc>
        <w:tc>
          <w:tcPr>
            <w:tcW w:w="1155" w:type="dxa"/>
          </w:tcPr>
          <w:p w14:paraId="49184FD1"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בינונית</w:t>
            </w:r>
          </w:p>
        </w:tc>
        <w:tc>
          <w:tcPr>
            <w:tcW w:w="1320" w:type="dxa"/>
          </w:tcPr>
          <w:p w14:paraId="44BAD866"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רבה</w:t>
            </w:r>
          </w:p>
        </w:tc>
        <w:tc>
          <w:tcPr>
            <w:tcW w:w="1320" w:type="dxa"/>
          </w:tcPr>
          <w:p w14:paraId="4F0C8D55"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בינונית</w:t>
            </w:r>
          </w:p>
        </w:tc>
        <w:tc>
          <w:tcPr>
            <w:tcW w:w="2030" w:type="dxa"/>
          </w:tcPr>
          <w:p w14:paraId="2F96CC46"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השפלה</w:t>
            </w:r>
          </w:p>
        </w:tc>
        <w:tc>
          <w:tcPr>
            <w:tcW w:w="1296" w:type="dxa"/>
          </w:tcPr>
          <w:p w14:paraId="47275D77"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השפלה וההר</w:t>
            </w:r>
          </w:p>
        </w:tc>
      </w:tr>
      <w:tr w:rsidR="00C45EBB" w:rsidRPr="00C45EBB" w14:paraId="338043A7" w14:textId="77777777" w:rsidTr="00C45EBB">
        <w:tc>
          <w:tcPr>
            <w:tcW w:w="817" w:type="dxa"/>
          </w:tcPr>
          <w:p w14:paraId="5358A0DE"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20</w:t>
            </w:r>
          </w:p>
        </w:tc>
        <w:tc>
          <w:tcPr>
            <w:tcW w:w="1155" w:type="dxa"/>
          </w:tcPr>
          <w:p w14:paraId="0A2038F2"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בינונית</w:t>
            </w:r>
          </w:p>
        </w:tc>
        <w:tc>
          <w:tcPr>
            <w:tcW w:w="1320" w:type="dxa"/>
          </w:tcPr>
          <w:p w14:paraId="11355CA8"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רבה</w:t>
            </w:r>
          </w:p>
        </w:tc>
        <w:tc>
          <w:tcPr>
            <w:tcW w:w="1320" w:type="dxa"/>
          </w:tcPr>
          <w:p w14:paraId="47304A1C"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בינונית</w:t>
            </w:r>
          </w:p>
        </w:tc>
        <w:tc>
          <w:tcPr>
            <w:tcW w:w="2030" w:type="dxa"/>
          </w:tcPr>
          <w:p w14:paraId="2297ED0A"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ההר</w:t>
            </w:r>
          </w:p>
        </w:tc>
        <w:tc>
          <w:tcPr>
            <w:tcW w:w="1296" w:type="dxa"/>
          </w:tcPr>
          <w:p w14:paraId="396D5C72" w14:textId="77777777" w:rsidR="00C45EBB" w:rsidRPr="00C45EBB" w:rsidRDefault="00C45EBB" w:rsidP="00C45EBB">
            <w:pPr>
              <w:pStyle w:val="P00"/>
              <w:spacing w:before="0" w:line="240" w:lineRule="auto"/>
              <w:ind w:left="0"/>
              <w:jc w:val="left"/>
              <w:rPr>
                <w:rStyle w:val="default"/>
                <w:rFonts w:cs="FrankRuehl" w:hint="cs"/>
                <w:szCs w:val="24"/>
                <w:rtl/>
              </w:rPr>
            </w:pPr>
          </w:p>
        </w:tc>
      </w:tr>
      <w:tr w:rsidR="00C45EBB" w:rsidRPr="00C45EBB" w14:paraId="5CD6F1F5" w14:textId="77777777" w:rsidTr="00C45EBB">
        <w:tc>
          <w:tcPr>
            <w:tcW w:w="817" w:type="dxa"/>
          </w:tcPr>
          <w:p w14:paraId="5AB02705"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11</w:t>
            </w:r>
          </w:p>
        </w:tc>
        <w:tc>
          <w:tcPr>
            <w:tcW w:w="1155" w:type="dxa"/>
          </w:tcPr>
          <w:p w14:paraId="32D5E45A"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מועטה</w:t>
            </w:r>
          </w:p>
        </w:tc>
        <w:tc>
          <w:tcPr>
            <w:tcW w:w="1320" w:type="dxa"/>
          </w:tcPr>
          <w:p w14:paraId="52A61BFF"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בינונית</w:t>
            </w:r>
          </w:p>
        </w:tc>
        <w:tc>
          <w:tcPr>
            <w:tcW w:w="1320" w:type="dxa"/>
          </w:tcPr>
          <w:p w14:paraId="498CF488"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מועטה</w:t>
            </w:r>
          </w:p>
        </w:tc>
        <w:tc>
          <w:tcPr>
            <w:tcW w:w="2030" w:type="dxa"/>
          </w:tcPr>
          <w:p w14:paraId="3F8DD8A7"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מטרופולין ירושלים</w:t>
            </w:r>
          </w:p>
        </w:tc>
        <w:tc>
          <w:tcPr>
            <w:tcW w:w="1296" w:type="dxa"/>
          </w:tcPr>
          <w:p w14:paraId="3FBD50F1" w14:textId="77777777" w:rsidR="00C45EBB" w:rsidRPr="00C45EBB" w:rsidRDefault="00C45EBB" w:rsidP="00C45EBB">
            <w:pPr>
              <w:pStyle w:val="P00"/>
              <w:spacing w:before="0" w:line="240" w:lineRule="auto"/>
              <w:ind w:left="0"/>
              <w:jc w:val="left"/>
              <w:rPr>
                <w:rStyle w:val="default"/>
                <w:rFonts w:cs="FrankRuehl" w:hint="cs"/>
                <w:szCs w:val="24"/>
                <w:rtl/>
              </w:rPr>
            </w:pPr>
          </w:p>
        </w:tc>
      </w:tr>
      <w:tr w:rsidR="00C45EBB" w:rsidRPr="00C45EBB" w14:paraId="2D58749A" w14:textId="77777777" w:rsidTr="00C45EBB">
        <w:tc>
          <w:tcPr>
            <w:tcW w:w="817" w:type="dxa"/>
          </w:tcPr>
          <w:p w14:paraId="3D0D3DFD"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20</w:t>
            </w:r>
          </w:p>
        </w:tc>
        <w:tc>
          <w:tcPr>
            <w:tcW w:w="1155" w:type="dxa"/>
          </w:tcPr>
          <w:p w14:paraId="400FE1A9"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בינונית</w:t>
            </w:r>
          </w:p>
        </w:tc>
        <w:tc>
          <w:tcPr>
            <w:tcW w:w="1320" w:type="dxa"/>
          </w:tcPr>
          <w:p w14:paraId="3C50E690"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רבה</w:t>
            </w:r>
          </w:p>
        </w:tc>
        <w:tc>
          <w:tcPr>
            <w:tcW w:w="1320" w:type="dxa"/>
          </w:tcPr>
          <w:p w14:paraId="06A9F7CF"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בינונית</w:t>
            </w:r>
          </w:p>
        </w:tc>
        <w:tc>
          <w:tcPr>
            <w:tcW w:w="2030" w:type="dxa"/>
          </w:tcPr>
          <w:p w14:paraId="41947D57"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 xml:space="preserve">מצפון לכביש </w:t>
            </w:r>
            <w:r>
              <w:rPr>
                <w:rStyle w:val="default"/>
                <w:rFonts w:cs="FrankRuehl"/>
                <w:szCs w:val="24"/>
                <w:rtl/>
              </w:rPr>
              <w:br/>
            </w:r>
            <w:r>
              <w:rPr>
                <w:rStyle w:val="default"/>
                <w:rFonts w:cs="FrankRuehl" w:hint="cs"/>
                <w:szCs w:val="24"/>
                <w:rtl/>
              </w:rPr>
              <w:t>אשקלון-קרית גת</w:t>
            </w:r>
          </w:p>
        </w:tc>
        <w:tc>
          <w:tcPr>
            <w:tcW w:w="1296" w:type="dxa"/>
          </w:tcPr>
          <w:p w14:paraId="789954D5"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הנגב</w:t>
            </w:r>
          </w:p>
        </w:tc>
      </w:tr>
      <w:tr w:rsidR="00C45EBB" w:rsidRPr="00C45EBB" w14:paraId="1F6411F0" w14:textId="77777777" w:rsidTr="00C45EBB">
        <w:tc>
          <w:tcPr>
            <w:tcW w:w="817" w:type="dxa"/>
          </w:tcPr>
          <w:p w14:paraId="357E1049"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30</w:t>
            </w:r>
          </w:p>
        </w:tc>
        <w:tc>
          <w:tcPr>
            <w:tcW w:w="1155" w:type="dxa"/>
          </w:tcPr>
          <w:p w14:paraId="4043A047"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רבה</w:t>
            </w:r>
          </w:p>
        </w:tc>
        <w:tc>
          <w:tcPr>
            <w:tcW w:w="1320" w:type="dxa"/>
          </w:tcPr>
          <w:p w14:paraId="7D68A2E0"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רבה</w:t>
            </w:r>
          </w:p>
        </w:tc>
        <w:tc>
          <w:tcPr>
            <w:tcW w:w="1320" w:type="dxa"/>
          </w:tcPr>
          <w:p w14:paraId="323D5879"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רבה</w:t>
            </w:r>
          </w:p>
        </w:tc>
        <w:tc>
          <w:tcPr>
            <w:tcW w:w="2030" w:type="dxa"/>
          </w:tcPr>
          <w:p w14:paraId="7677DF6A" w14:textId="77777777" w:rsidR="00C45EBB" w:rsidRPr="00C45EBB" w:rsidRDefault="00C45EBB" w:rsidP="00C45EBB">
            <w:pPr>
              <w:pStyle w:val="P00"/>
              <w:spacing w:before="0" w:line="240" w:lineRule="auto"/>
              <w:ind w:left="0"/>
              <w:jc w:val="left"/>
              <w:rPr>
                <w:rStyle w:val="default"/>
                <w:rFonts w:cs="FrankRuehl" w:hint="cs"/>
                <w:szCs w:val="24"/>
                <w:rtl/>
              </w:rPr>
            </w:pPr>
            <w:r>
              <w:rPr>
                <w:rStyle w:val="default"/>
                <w:rFonts w:cs="FrankRuehl" w:hint="cs"/>
                <w:szCs w:val="24"/>
                <w:rtl/>
              </w:rPr>
              <w:t xml:space="preserve">מדרום לכביש </w:t>
            </w:r>
            <w:r>
              <w:rPr>
                <w:rStyle w:val="default"/>
                <w:rFonts w:cs="FrankRuehl"/>
                <w:szCs w:val="24"/>
                <w:rtl/>
              </w:rPr>
              <w:br/>
            </w:r>
            <w:r>
              <w:rPr>
                <w:rStyle w:val="default"/>
                <w:rFonts w:cs="FrankRuehl" w:hint="cs"/>
                <w:szCs w:val="24"/>
                <w:rtl/>
              </w:rPr>
              <w:t>אשקלון-קרית גת</w:t>
            </w:r>
          </w:p>
        </w:tc>
        <w:tc>
          <w:tcPr>
            <w:tcW w:w="1296" w:type="dxa"/>
          </w:tcPr>
          <w:p w14:paraId="6FC2CDF5" w14:textId="77777777" w:rsidR="00C45EBB" w:rsidRPr="00C45EBB" w:rsidRDefault="00C45EBB" w:rsidP="00C45EBB">
            <w:pPr>
              <w:pStyle w:val="P00"/>
              <w:spacing w:before="0" w:line="240" w:lineRule="auto"/>
              <w:ind w:left="0"/>
              <w:jc w:val="left"/>
              <w:rPr>
                <w:rStyle w:val="default"/>
                <w:rFonts w:cs="FrankRuehl" w:hint="cs"/>
                <w:szCs w:val="24"/>
                <w:rtl/>
              </w:rPr>
            </w:pPr>
          </w:p>
        </w:tc>
      </w:tr>
    </w:tbl>
    <w:p w14:paraId="5D10E73F" w14:textId="77777777" w:rsidR="00F47F0A" w:rsidRDefault="00F47F0A" w:rsidP="00D611F4">
      <w:pPr>
        <w:pStyle w:val="P00"/>
        <w:spacing w:before="72"/>
        <w:ind w:left="0" w:right="1134"/>
        <w:rPr>
          <w:rFonts w:hint="cs"/>
          <w:rtl/>
          <w:lang w:eastAsia="en-US"/>
        </w:rPr>
      </w:pPr>
    </w:p>
    <w:p w14:paraId="6C844B87" w14:textId="77777777" w:rsidR="00CF2341" w:rsidRPr="00C45EBB" w:rsidRDefault="00CF2341" w:rsidP="00C45EBB">
      <w:pPr>
        <w:pStyle w:val="medium2-header"/>
        <w:keepLines w:val="0"/>
        <w:spacing w:before="72"/>
        <w:ind w:left="0" w:right="1134"/>
        <w:rPr>
          <w:rFonts w:hint="cs"/>
          <w:noProof/>
          <w:rtl/>
        </w:rPr>
      </w:pPr>
      <w:bookmarkStart w:id="4" w:name="med1"/>
      <w:bookmarkEnd w:id="4"/>
      <w:r w:rsidRPr="00C45EBB">
        <w:rPr>
          <w:rFonts w:hint="cs"/>
          <w:noProof/>
          <w:rtl/>
        </w:rPr>
        <w:t>תוספת שני</w:t>
      </w:r>
      <w:r w:rsidR="00C45EBB">
        <w:rPr>
          <w:rFonts w:hint="cs"/>
          <w:noProof/>
          <w:rtl/>
        </w:rPr>
        <w:t>י</w:t>
      </w:r>
      <w:r w:rsidRPr="00C45EBB">
        <w:rPr>
          <w:rFonts w:hint="cs"/>
          <w:noProof/>
          <w:rtl/>
        </w:rPr>
        <w:t>ה</w:t>
      </w:r>
    </w:p>
    <w:p w14:paraId="2A526C9C" w14:textId="77777777" w:rsidR="00CF2341" w:rsidRPr="00CF2341" w:rsidRDefault="00CF2341" w:rsidP="00CF2341">
      <w:pPr>
        <w:pStyle w:val="P00"/>
        <w:spacing w:before="72"/>
        <w:ind w:left="0" w:right="1134"/>
        <w:jc w:val="center"/>
        <w:rPr>
          <w:rFonts w:hint="cs"/>
          <w:sz w:val="24"/>
          <w:szCs w:val="24"/>
          <w:rtl/>
          <w:lang w:eastAsia="en-US"/>
        </w:rPr>
      </w:pPr>
      <w:r w:rsidRPr="00CF2341">
        <w:rPr>
          <w:rFonts w:hint="cs"/>
          <w:sz w:val="24"/>
          <w:szCs w:val="24"/>
          <w:rtl/>
          <w:lang w:eastAsia="en-US"/>
        </w:rPr>
        <w:t>(סעיף 1)</w:t>
      </w:r>
    </w:p>
    <w:p w14:paraId="371D6C2C" w14:textId="77777777" w:rsidR="00C97B88" w:rsidRPr="00F47F0A" w:rsidRDefault="00C45EBB" w:rsidP="00C45EBB">
      <w:pPr>
        <w:pStyle w:val="P00"/>
        <w:spacing w:before="72"/>
        <w:ind w:left="0" w:right="1134"/>
        <w:jc w:val="center"/>
        <w:rPr>
          <w:rFonts w:hint="cs"/>
          <w:szCs w:val="20"/>
          <w:rtl/>
          <w:lang w:eastAsia="en-US"/>
        </w:rPr>
      </w:pPr>
      <w:r w:rsidRPr="00F47F0A">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1pt;height:235.5pt">
            <v:imagedata r:id="rId6" o:title=""/>
          </v:shape>
        </w:pict>
      </w:r>
    </w:p>
    <w:p w14:paraId="7ECBA31B" w14:textId="77777777" w:rsidR="00F47F0A" w:rsidRDefault="00F47F0A">
      <w:pPr>
        <w:pStyle w:val="P00"/>
        <w:spacing w:before="72"/>
        <w:ind w:left="0" w:right="1134"/>
        <w:rPr>
          <w:rFonts w:hint="cs"/>
          <w:rtl/>
          <w:lang w:eastAsia="en-US"/>
        </w:rPr>
      </w:pPr>
    </w:p>
    <w:p w14:paraId="653D3BD1" w14:textId="77777777" w:rsidR="00276FFC" w:rsidRDefault="00276FFC">
      <w:pPr>
        <w:pStyle w:val="P00"/>
        <w:spacing w:before="72"/>
        <w:ind w:left="0" w:right="1134"/>
        <w:rPr>
          <w:rFonts w:hint="cs"/>
          <w:rtl/>
          <w:lang w:eastAsia="en-US"/>
        </w:rPr>
      </w:pPr>
    </w:p>
    <w:p w14:paraId="792CA840" w14:textId="77777777" w:rsidR="00276FFC" w:rsidRDefault="00C45EBB" w:rsidP="00C45EBB">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Fonts w:hint="cs"/>
          <w:rtl/>
          <w:lang w:eastAsia="en-US"/>
        </w:rPr>
      </w:pPr>
      <w:r>
        <w:rPr>
          <w:rFonts w:hint="cs"/>
          <w:rtl/>
          <w:lang w:eastAsia="en-US"/>
        </w:rPr>
        <w:t>כ"ח באלול התשע"ג (3 בספטמבר 2013</w:t>
      </w:r>
      <w:r w:rsidR="00276FFC">
        <w:rPr>
          <w:rFonts w:hint="cs"/>
          <w:rtl/>
          <w:lang w:eastAsia="en-US"/>
        </w:rPr>
        <w:t>)</w:t>
      </w:r>
      <w:r w:rsidR="00A77120">
        <w:rPr>
          <w:rFonts w:hint="cs"/>
          <w:rtl/>
          <w:lang w:eastAsia="en-US"/>
        </w:rPr>
        <w:tab/>
      </w:r>
      <w:r>
        <w:rPr>
          <w:rFonts w:hint="cs"/>
          <w:rtl/>
          <w:lang w:eastAsia="en-US"/>
        </w:rPr>
        <w:t>יאיר שמיר</w:t>
      </w:r>
      <w:r w:rsidR="00CF2341">
        <w:rPr>
          <w:rFonts w:hint="cs"/>
          <w:rtl/>
          <w:lang w:eastAsia="en-US"/>
        </w:rPr>
        <w:tab/>
      </w:r>
      <w:r>
        <w:rPr>
          <w:rFonts w:hint="cs"/>
          <w:rtl/>
          <w:lang w:eastAsia="en-US"/>
        </w:rPr>
        <w:t>יאיר לפיד</w:t>
      </w:r>
    </w:p>
    <w:p w14:paraId="413F8B99" w14:textId="77777777" w:rsidR="00276FFC" w:rsidRDefault="00276FFC" w:rsidP="00C45EBB">
      <w:pPr>
        <w:pStyle w:val="P00"/>
        <w:tabs>
          <w:tab w:val="clear" w:pos="624"/>
          <w:tab w:val="clear" w:pos="1021"/>
          <w:tab w:val="clear" w:pos="1474"/>
          <w:tab w:val="clear" w:pos="1928"/>
          <w:tab w:val="clear" w:pos="2381"/>
          <w:tab w:val="clear" w:pos="2835"/>
          <w:tab w:val="clear" w:pos="6259"/>
          <w:tab w:val="center" w:pos="4536"/>
          <w:tab w:val="center" w:pos="6237"/>
        </w:tabs>
        <w:spacing w:before="0"/>
        <w:ind w:left="0" w:right="1134"/>
        <w:rPr>
          <w:rFonts w:hint="cs"/>
          <w:sz w:val="22"/>
          <w:szCs w:val="22"/>
          <w:rtl/>
          <w:lang w:eastAsia="en-US"/>
        </w:rPr>
      </w:pPr>
      <w:r>
        <w:rPr>
          <w:rFonts w:hint="cs"/>
          <w:sz w:val="22"/>
          <w:szCs w:val="22"/>
          <w:rtl/>
          <w:lang w:eastAsia="en-US"/>
        </w:rPr>
        <w:tab/>
        <w:t xml:space="preserve">שר </w:t>
      </w:r>
      <w:r w:rsidR="00CF2341">
        <w:rPr>
          <w:rFonts w:hint="cs"/>
          <w:sz w:val="22"/>
          <w:szCs w:val="22"/>
          <w:rtl/>
          <w:lang w:eastAsia="en-US"/>
        </w:rPr>
        <w:t>החקלאות ופיתוח הכפר</w:t>
      </w:r>
      <w:r w:rsidR="00CF2341">
        <w:rPr>
          <w:rFonts w:hint="cs"/>
          <w:sz w:val="22"/>
          <w:szCs w:val="22"/>
          <w:rtl/>
          <w:lang w:eastAsia="en-US"/>
        </w:rPr>
        <w:tab/>
        <w:t>שר האוצר</w:t>
      </w:r>
    </w:p>
    <w:p w14:paraId="3DDB393C" w14:textId="77777777" w:rsidR="00F47F0A" w:rsidRDefault="00F47F0A">
      <w:pPr>
        <w:pStyle w:val="P00"/>
        <w:spacing w:before="72"/>
        <w:ind w:left="0" w:right="1134"/>
        <w:rPr>
          <w:rStyle w:val="default"/>
          <w:rFonts w:cs="FrankRuehl" w:hint="cs"/>
          <w:rtl/>
          <w:lang w:eastAsia="en-US"/>
        </w:rPr>
      </w:pPr>
    </w:p>
    <w:p w14:paraId="1E2F85AC" w14:textId="77777777" w:rsidR="00A87B13" w:rsidRDefault="00A87B13">
      <w:pPr>
        <w:pStyle w:val="P00"/>
        <w:spacing w:before="72"/>
        <w:ind w:left="0" w:right="1134"/>
        <w:rPr>
          <w:rStyle w:val="default"/>
          <w:rFonts w:cs="FrankRuehl" w:hint="cs"/>
          <w:rtl/>
          <w:lang w:eastAsia="en-US"/>
        </w:rPr>
      </w:pPr>
    </w:p>
    <w:p w14:paraId="2027C6EB" w14:textId="77777777" w:rsidR="00460A33" w:rsidRDefault="00460A33">
      <w:pPr>
        <w:pStyle w:val="P00"/>
        <w:spacing w:before="72"/>
        <w:ind w:left="0" w:right="1134"/>
        <w:rPr>
          <w:rStyle w:val="default"/>
          <w:rFonts w:cs="FrankRuehl"/>
          <w:rtl/>
          <w:lang w:eastAsia="en-US"/>
        </w:rPr>
      </w:pPr>
    </w:p>
    <w:p w14:paraId="3106D806" w14:textId="77777777" w:rsidR="00460A33" w:rsidRDefault="00460A33">
      <w:pPr>
        <w:pStyle w:val="P00"/>
        <w:spacing w:before="72"/>
        <w:ind w:left="0" w:right="1134"/>
        <w:rPr>
          <w:rStyle w:val="default"/>
          <w:rFonts w:cs="FrankRuehl"/>
          <w:rtl/>
          <w:lang w:eastAsia="en-US"/>
        </w:rPr>
      </w:pPr>
    </w:p>
    <w:p w14:paraId="6E9A2FED" w14:textId="77777777" w:rsidR="00460A33" w:rsidRDefault="00460A33" w:rsidP="00460A33">
      <w:pPr>
        <w:pStyle w:val="P00"/>
        <w:spacing w:before="72"/>
        <w:ind w:left="0" w:right="1134"/>
        <w:jc w:val="center"/>
        <w:rPr>
          <w:rStyle w:val="default"/>
          <w:rFonts w:cs="David"/>
          <w:color w:val="0000FF"/>
          <w:szCs w:val="24"/>
          <w:u w:val="single"/>
          <w:rtl/>
          <w:lang w:eastAsia="en-US"/>
        </w:rPr>
      </w:pPr>
      <w:hyperlink r:id="rId7"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2C2D7775" w14:textId="77777777" w:rsidR="00C45EBB" w:rsidRPr="00460A33" w:rsidRDefault="00C45EBB" w:rsidP="00460A33">
      <w:pPr>
        <w:pStyle w:val="P00"/>
        <w:spacing w:before="72"/>
        <w:ind w:left="0" w:right="1134"/>
        <w:jc w:val="center"/>
        <w:rPr>
          <w:rStyle w:val="default"/>
          <w:rFonts w:cs="David" w:hint="cs"/>
          <w:color w:val="0000FF"/>
          <w:szCs w:val="24"/>
          <w:u w:val="single"/>
          <w:rtl/>
          <w:lang w:eastAsia="en-US"/>
        </w:rPr>
      </w:pPr>
    </w:p>
    <w:sectPr w:rsidR="00C45EBB" w:rsidRPr="00460A33">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E74DC" w14:textId="77777777" w:rsidR="009E23F1" w:rsidRDefault="009E23F1">
      <w:r>
        <w:separator/>
      </w:r>
    </w:p>
  </w:endnote>
  <w:endnote w:type="continuationSeparator" w:id="0">
    <w:p w14:paraId="5486561E" w14:textId="77777777" w:rsidR="009E23F1" w:rsidRDefault="009E2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2C85" w14:textId="77777777" w:rsidR="00276FFC" w:rsidRDefault="00276FFC">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6636D503" w14:textId="77777777" w:rsidR="00276FFC" w:rsidRDefault="00276FFC">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6096C71A" w14:textId="77777777" w:rsidR="00276FFC" w:rsidRDefault="00276FFC">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4B3312">
      <w:rPr>
        <w:rFonts w:cs="TopType Jerushalmi"/>
        <w:noProof/>
        <w:color w:val="000000"/>
        <w:sz w:val="14"/>
        <w:szCs w:val="14"/>
        <w:lang w:eastAsia="en-US"/>
      </w:rPr>
      <w:t>Z:\000000000000-law\yael\09-01-14\tav\500_069.doc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8CE02" w14:textId="77777777" w:rsidR="00276FFC" w:rsidRDefault="00276FFC">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460A33">
      <w:rPr>
        <w:noProof/>
        <w:sz w:val="24"/>
        <w:szCs w:val="24"/>
        <w:rtl/>
        <w:lang w:eastAsia="en-US"/>
      </w:rPr>
      <w:t>4</w:t>
    </w:r>
    <w:r>
      <w:rPr>
        <w:rFonts w:hAnsi="FrankRuehl"/>
        <w:sz w:val="24"/>
        <w:szCs w:val="24"/>
        <w:rtl/>
      </w:rPr>
      <w:fldChar w:fldCharType="end"/>
    </w:r>
  </w:p>
  <w:p w14:paraId="4853D561" w14:textId="77777777" w:rsidR="00276FFC" w:rsidRDefault="00276FFC">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532DBBFC" w14:textId="77777777" w:rsidR="00276FFC" w:rsidRDefault="00276FFC">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4B3312">
      <w:rPr>
        <w:rFonts w:cs="TopType Jerushalmi"/>
        <w:noProof/>
        <w:color w:val="000000"/>
        <w:sz w:val="14"/>
        <w:szCs w:val="14"/>
        <w:lang w:eastAsia="en-US"/>
      </w:rPr>
      <w:t>Z:\000000000000-law\yael\09-01-14\tav\500_069.doc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FE438" w14:textId="77777777" w:rsidR="009E23F1" w:rsidRDefault="009E23F1">
      <w:pPr>
        <w:spacing w:before="60" w:line="240" w:lineRule="auto"/>
        <w:ind w:right="1134"/>
      </w:pPr>
      <w:r>
        <w:separator/>
      </w:r>
    </w:p>
  </w:footnote>
  <w:footnote w:type="continuationSeparator" w:id="0">
    <w:p w14:paraId="27D64CD4" w14:textId="77777777" w:rsidR="009E23F1" w:rsidRDefault="009E23F1">
      <w:r>
        <w:continuationSeparator/>
      </w:r>
    </w:p>
  </w:footnote>
  <w:footnote w:id="1">
    <w:p w14:paraId="5F8BDA17" w14:textId="77777777" w:rsidR="00E473EE" w:rsidRDefault="00276FFC" w:rsidP="00E473E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t>*</w:t>
      </w:r>
      <w:r w:rsidR="00C97B88">
        <w:rPr>
          <w:rFonts w:hint="cs"/>
          <w:rtl/>
        </w:rPr>
        <w:t xml:space="preserve"> פורסם</w:t>
      </w:r>
      <w:r>
        <w:rPr>
          <w:rFonts w:hint="cs"/>
          <w:rtl/>
        </w:rPr>
        <w:t xml:space="preserve"> </w:t>
      </w:r>
      <w:hyperlink r:id="rId1" w:history="1">
        <w:r w:rsidRPr="00E473EE">
          <w:rPr>
            <w:rStyle w:val="Hyperlink"/>
            <w:rFonts w:hint="eastAsia"/>
            <w:rtl/>
          </w:rPr>
          <w:t>ק</w:t>
        </w:r>
        <w:r w:rsidRPr="00E473EE">
          <w:rPr>
            <w:rStyle w:val="Hyperlink"/>
            <w:rtl/>
          </w:rPr>
          <w:t>"ת תש</w:t>
        </w:r>
        <w:r w:rsidR="00F47F0A" w:rsidRPr="00E473EE">
          <w:rPr>
            <w:rStyle w:val="Hyperlink"/>
            <w:rFonts w:hint="cs"/>
            <w:rtl/>
          </w:rPr>
          <w:t>ע"ד</w:t>
        </w:r>
        <w:r w:rsidRPr="00E473EE">
          <w:rPr>
            <w:rStyle w:val="Hyperlink"/>
            <w:rtl/>
          </w:rPr>
          <w:t xml:space="preserve"> מס' </w:t>
        </w:r>
        <w:r w:rsidR="00F47F0A" w:rsidRPr="00E473EE">
          <w:rPr>
            <w:rStyle w:val="Hyperlink"/>
            <w:rFonts w:hint="cs"/>
            <w:rtl/>
          </w:rPr>
          <w:t>7293</w:t>
        </w:r>
      </w:hyperlink>
      <w:r w:rsidR="002F204D">
        <w:rPr>
          <w:rFonts w:hint="cs"/>
          <w:rtl/>
        </w:rPr>
        <w:t xml:space="preserve"> מיום </w:t>
      </w:r>
      <w:r w:rsidR="00F47F0A">
        <w:rPr>
          <w:rFonts w:hint="cs"/>
          <w:rtl/>
        </w:rPr>
        <w:t>6.10.2013</w:t>
      </w:r>
      <w:r w:rsidR="002F204D">
        <w:rPr>
          <w:rFonts w:hint="cs"/>
          <w:rtl/>
        </w:rPr>
        <w:t xml:space="preserve"> עמ' </w:t>
      </w:r>
      <w:r w:rsidR="00F47F0A">
        <w:rPr>
          <w:rFonts w:hint="cs"/>
          <w:rtl/>
        </w:rPr>
        <w:t>40</w:t>
      </w:r>
      <w:r>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AFC8" w14:textId="77777777" w:rsidR="00276FFC" w:rsidRDefault="00276FFC">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7A2E6BA3" w14:textId="77777777" w:rsidR="00276FFC" w:rsidRDefault="00276FFC">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61E44034" w14:textId="77777777" w:rsidR="00276FFC" w:rsidRDefault="00276FFC">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F1FB6" w14:textId="77777777" w:rsidR="00276FFC" w:rsidRDefault="00C97B88" w:rsidP="00F47F0A">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לעידוד השקעות הון בחקלאות (קביעת תחומי אזורי פיתוח א' ו-ב')</w:t>
    </w:r>
    <w:r w:rsidR="00F47F0A">
      <w:rPr>
        <w:rFonts w:hint="cs"/>
        <w:color w:val="000000"/>
        <w:sz w:val="28"/>
        <w:szCs w:val="28"/>
        <w:rtl/>
        <w:lang w:eastAsia="en-US"/>
      </w:rPr>
      <w:t>, תשע"ד-2013</w:t>
    </w:r>
  </w:p>
  <w:p w14:paraId="01F040A5" w14:textId="77777777" w:rsidR="00276FFC" w:rsidRDefault="00276FFC">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78EC9DE7" w14:textId="77777777" w:rsidR="00276FFC" w:rsidRDefault="00276FFC">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5C83"/>
    <w:rsid w:val="00066592"/>
    <w:rsid w:val="00072E09"/>
    <w:rsid w:val="00114906"/>
    <w:rsid w:val="002237AA"/>
    <w:rsid w:val="00276FFC"/>
    <w:rsid w:val="002E4408"/>
    <w:rsid w:val="002F204D"/>
    <w:rsid w:val="00325BA9"/>
    <w:rsid w:val="00452C04"/>
    <w:rsid w:val="00460A33"/>
    <w:rsid w:val="004B3312"/>
    <w:rsid w:val="00522860"/>
    <w:rsid w:val="006A0240"/>
    <w:rsid w:val="006B5C83"/>
    <w:rsid w:val="00730D2A"/>
    <w:rsid w:val="00764629"/>
    <w:rsid w:val="007879CC"/>
    <w:rsid w:val="007A2451"/>
    <w:rsid w:val="007E1F90"/>
    <w:rsid w:val="00980A82"/>
    <w:rsid w:val="009D4C0F"/>
    <w:rsid w:val="009E23F1"/>
    <w:rsid w:val="00A77120"/>
    <w:rsid w:val="00A87B13"/>
    <w:rsid w:val="00A96375"/>
    <w:rsid w:val="00C078CE"/>
    <w:rsid w:val="00C45EBB"/>
    <w:rsid w:val="00C97B88"/>
    <w:rsid w:val="00CD3A38"/>
    <w:rsid w:val="00CD4ED8"/>
    <w:rsid w:val="00CE2669"/>
    <w:rsid w:val="00CF2341"/>
    <w:rsid w:val="00D11324"/>
    <w:rsid w:val="00D403FA"/>
    <w:rsid w:val="00D611F4"/>
    <w:rsid w:val="00D711F1"/>
    <w:rsid w:val="00E172B8"/>
    <w:rsid w:val="00E473EE"/>
    <w:rsid w:val="00E5592F"/>
    <w:rsid w:val="00E723C2"/>
    <w:rsid w:val="00F42C1D"/>
    <w:rsid w:val="00F47F0A"/>
    <w:rsid w:val="00FE7B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5685099"/>
  <w15:chartTrackingRefBased/>
  <w15:docId w15:val="{95C6C576-91C2-44F4-A759-CD3DE9E5A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C45EB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2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3932</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5505033</vt:i4>
      </vt:variant>
      <vt:variant>
        <vt:i4>24</vt:i4>
      </vt:variant>
      <vt:variant>
        <vt:i4>0</vt:i4>
      </vt:variant>
      <vt:variant>
        <vt:i4>5</vt:i4>
      </vt:variant>
      <vt:variant>
        <vt:lpwstr/>
      </vt:variant>
      <vt:variant>
        <vt:lpwstr>med1</vt:lpwstr>
      </vt:variant>
      <vt:variant>
        <vt:i4>5570569</vt:i4>
      </vt:variant>
      <vt:variant>
        <vt:i4>18</vt:i4>
      </vt:variant>
      <vt:variant>
        <vt:i4>0</vt:i4>
      </vt:variant>
      <vt:variant>
        <vt:i4>5</vt:i4>
      </vt:variant>
      <vt:variant>
        <vt:lpwstr/>
      </vt:variant>
      <vt:variant>
        <vt:lpwstr>med0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7798793</vt:i4>
      </vt:variant>
      <vt:variant>
        <vt:i4>0</vt:i4>
      </vt:variant>
      <vt:variant>
        <vt:i4>0</vt:i4>
      </vt:variant>
      <vt:variant>
        <vt:i4>5</vt:i4>
      </vt:variant>
      <vt:variant>
        <vt:lpwstr>http://www.nevo.co.il/Law_word/law06/TAK-7293.pdf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2023-06-05T19:21:00Z</dcterms:created>
  <dcterms:modified xsi:type="dcterms:W3CDTF">2023-06-05T19:21:00Z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השקעות הון בחקלאות</vt:lpwstr>
  </property>
  <property fmtid="{D5CDD505-2E9C-101B-9397-08002B2CF9AE}" pid="4" name="LAWNAME">
    <vt:lpwstr>צו לעידוד השקעות הון בחקלאות (קביעת תחומי אזורי פיתוח א' ו-ב'), תשע"ד-2013</vt:lpwstr>
  </property>
  <property fmtid="{D5CDD505-2E9C-101B-9397-08002B2CF9AE}" pid="5" name="LAWNUMBER">
    <vt:lpwstr>0925</vt:lpwstr>
  </property>
  <property fmtid="{D5CDD505-2E9C-101B-9397-08002B2CF9AE}" pid="6" name="TYPE">
    <vt:lpwstr>01</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חקלאות טבע וסביבה</vt:lpwstr>
  </property>
  <property fmtid="{D5CDD505-2E9C-101B-9397-08002B2CF9AE}" pid="22" name="NOSE21">
    <vt:lpwstr>חקלאות</vt:lpwstr>
  </property>
  <property fmtid="{D5CDD505-2E9C-101B-9397-08002B2CF9AE}" pid="23" name="NOSE31">
    <vt:lpwstr>השקעות הון בחקלאות</vt:lpwstr>
  </property>
  <property fmtid="{D5CDD505-2E9C-101B-9397-08002B2CF9AE}" pid="24" name="NOSE41">
    <vt:lpwstr/>
  </property>
  <property fmtid="{D5CDD505-2E9C-101B-9397-08002B2CF9AE}" pid="25" name="NOSE12">
    <vt:lpwstr>משפט פרטי וכלכלה</vt:lpwstr>
  </property>
  <property fmtid="{D5CDD505-2E9C-101B-9397-08002B2CF9AE}" pid="26" name="NOSE22">
    <vt:lpwstr>כספים</vt:lpwstr>
  </property>
  <property fmtid="{D5CDD505-2E9C-101B-9397-08002B2CF9AE}" pid="27" name="NOSE32">
    <vt:lpwstr>השקעות </vt:lpwstr>
  </property>
  <property fmtid="{D5CDD505-2E9C-101B-9397-08002B2CF9AE}" pid="28" name="NOSE42">
    <vt:lpwstr>השקעות הון ועידודן</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לעידוד השקעות הון בחקלאות</vt:lpwstr>
  </property>
  <property fmtid="{D5CDD505-2E9C-101B-9397-08002B2CF9AE}" pid="62" name="MEKOR_SAIF1">
    <vt:lpwstr>24XבX</vt:lpwstr>
  </property>
  <property fmtid="{D5CDD505-2E9C-101B-9397-08002B2CF9AE}" pid="63" name="LINKK2">
    <vt:lpwstr/>
  </property>
  <property fmtid="{D5CDD505-2E9C-101B-9397-08002B2CF9AE}" pid="64" name="LINKK1">
    <vt:lpwstr>http://www.nevo.co.il/Law_word/law06/TAK-7293.pdf;‎רשומות - תקנות כלליות#פורסם ק"ת ‏תשע"ד מס' 7293 #מיום 6.10.2013 עמ' 40‏</vt:lpwstr>
  </property>
</Properties>
</file>