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AEBD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05290E">
        <w:rPr>
          <w:rFonts w:hint="cs"/>
          <w:rtl/>
          <w:lang w:eastAsia="en-US"/>
        </w:rPr>
        <w:t xml:space="preserve">לוד </w:t>
      </w:r>
      <w:r w:rsidR="0005290E">
        <w:rPr>
          <w:rtl/>
          <w:lang w:eastAsia="en-US"/>
        </w:rPr>
        <w:t>–</w:t>
      </w:r>
      <w:r w:rsidR="0005290E">
        <w:rPr>
          <w:rFonts w:hint="cs"/>
          <w:rtl/>
          <w:lang w:eastAsia="en-US"/>
        </w:rPr>
        <w:t xml:space="preserve"> דוד המלך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622C63E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C0237B7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5C203F4C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5C291BF4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25A8B" w:rsidRPr="00A25A8B" w14:paraId="2C75C516" w14:textId="77777777" w:rsidTr="00A25A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223536" w14:textId="77777777" w:rsidR="00A25A8B" w:rsidRPr="00A25A8B" w:rsidRDefault="00A25A8B" w:rsidP="00A25A8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B601CBB" w14:textId="77777777" w:rsidR="00A25A8B" w:rsidRPr="00A25A8B" w:rsidRDefault="00A25A8B" w:rsidP="00A25A8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213AE9AF" w14:textId="77777777" w:rsidR="00A25A8B" w:rsidRPr="00A25A8B" w:rsidRDefault="00A25A8B" w:rsidP="00A25A8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25A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239771" w14:textId="77777777" w:rsidR="00A25A8B" w:rsidRPr="00A25A8B" w:rsidRDefault="00A25A8B" w:rsidP="00A25A8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25A8B" w:rsidRPr="00A25A8B" w14:paraId="09CF9561" w14:textId="77777777" w:rsidTr="00A25A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169A5C" w14:textId="77777777" w:rsidR="00A25A8B" w:rsidRPr="00A25A8B" w:rsidRDefault="00A25A8B" w:rsidP="00A25A8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72C8C32" w14:textId="77777777" w:rsidR="00A25A8B" w:rsidRPr="00A25A8B" w:rsidRDefault="00A25A8B" w:rsidP="00A25A8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30B2CA8" w14:textId="77777777" w:rsidR="00A25A8B" w:rsidRPr="00A25A8B" w:rsidRDefault="00A25A8B" w:rsidP="00A25A8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A25A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BD28B6" w14:textId="77777777" w:rsidR="00A25A8B" w:rsidRPr="00A25A8B" w:rsidRDefault="00A25A8B" w:rsidP="00A25A8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25A8B" w:rsidRPr="00A25A8B" w14:paraId="1AADF7EB" w14:textId="77777777" w:rsidTr="00A25A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A253BF" w14:textId="77777777" w:rsidR="00A25A8B" w:rsidRPr="00A25A8B" w:rsidRDefault="00A25A8B" w:rsidP="00A25A8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D73B85B" w14:textId="77777777" w:rsidR="00A25A8B" w:rsidRPr="00A25A8B" w:rsidRDefault="00A25A8B" w:rsidP="00A25A8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B74392C" w14:textId="77777777" w:rsidR="00A25A8B" w:rsidRPr="00A25A8B" w:rsidRDefault="00A25A8B" w:rsidP="00A25A8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A25A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C23D14" w14:textId="77777777" w:rsidR="00A25A8B" w:rsidRPr="00A25A8B" w:rsidRDefault="00A25A8B" w:rsidP="00A25A8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F0CA912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3BEE1F1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05290E">
        <w:rPr>
          <w:rFonts w:hint="cs"/>
          <w:rtl/>
          <w:lang w:eastAsia="en-US"/>
        </w:rPr>
        <w:t xml:space="preserve">לוד </w:t>
      </w:r>
      <w:r w:rsidR="0005290E">
        <w:rPr>
          <w:rtl/>
          <w:lang w:eastAsia="en-US"/>
        </w:rPr>
        <w:t>–</w:t>
      </w:r>
      <w:r w:rsidR="0005290E">
        <w:rPr>
          <w:rFonts w:hint="cs"/>
          <w:rtl/>
          <w:lang w:eastAsia="en-US"/>
        </w:rPr>
        <w:t xml:space="preserve"> דוד המלך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CEEC28E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05290E">
        <w:rPr>
          <w:rStyle w:val="default"/>
          <w:rFonts w:cs="FrankRuehl" w:hint="cs"/>
          <w:rtl/>
        </w:rPr>
        <w:t>3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ובהמלצת </w:t>
      </w:r>
      <w:r w:rsidR="00E01706">
        <w:rPr>
          <w:rStyle w:val="default"/>
          <w:rFonts w:cs="FrankRuehl" w:hint="cs"/>
          <w:rtl/>
        </w:rPr>
        <w:t>מנהלת מינהל התכנון</w:t>
      </w:r>
      <w:r w:rsidR="008A082A">
        <w:rPr>
          <w:rStyle w:val="default"/>
          <w:rFonts w:cs="FrankRuehl" w:hint="cs"/>
          <w:rtl/>
        </w:rPr>
        <w:t xml:space="preserve"> כאמור בסעיף 3(</w:t>
      </w:r>
      <w:r w:rsidR="00E01706">
        <w:rPr>
          <w:rStyle w:val="default"/>
          <w:rFonts w:cs="FrankRuehl" w:hint="cs"/>
          <w:rtl/>
        </w:rPr>
        <w:t>ב</w:t>
      </w:r>
      <w:r w:rsidR="008A082A">
        <w:rPr>
          <w:rStyle w:val="default"/>
          <w:rFonts w:cs="FrankRuehl" w:hint="cs"/>
          <w:rtl/>
        </w:rPr>
        <w:t>) לחוק</w:t>
      </w:r>
      <w:r>
        <w:rPr>
          <w:rStyle w:val="default"/>
          <w:rFonts w:cs="FrankRuehl" w:hint="cs"/>
          <w:rtl/>
        </w:rPr>
        <w:t xml:space="preserve">, </w:t>
      </w:r>
      <w:r w:rsidR="00E01706">
        <w:rPr>
          <w:rStyle w:val="default"/>
          <w:rFonts w:cs="FrankRuehl" w:hint="cs"/>
          <w:rtl/>
        </w:rPr>
        <w:t xml:space="preserve">לאחר שהתקיימו התנאים שבחוק,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3EAA798F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9E2DD80">
          <v:rect id="_x0000_s2050" style="position:absolute;left:0;text-align:left;margin-left:464.5pt;margin-top:8.05pt;width:75.05pt;height:12.95pt;z-index:251656704" o:allowincell="f" filled="f" stroked="f" strokecolor="lime" strokeweight=".25pt">
            <v:textbox style="mso-next-textbox:#_x0000_s2050" inset="0,0,0,0">
              <w:txbxContent>
                <w:p w14:paraId="31530DC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2C56BB">
        <w:rPr>
          <w:rStyle w:val="default"/>
          <w:rFonts w:cs="FrankRuehl" w:hint="cs"/>
          <w:rtl/>
        </w:rPr>
        <w:t xml:space="preserve">לוד </w:t>
      </w:r>
      <w:r w:rsidR="002C56BB">
        <w:rPr>
          <w:rStyle w:val="default"/>
          <w:rFonts w:cs="FrankRuehl"/>
          <w:rtl/>
        </w:rPr>
        <w:t>–</w:t>
      </w:r>
      <w:r w:rsidR="002C56BB">
        <w:rPr>
          <w:rStyle w:val="default"/>
          <w:rFonts w:cs="FrankRuehl" w:hint="cs"/>
          <w:rtl/>
        </w:rPr>
        <w:t xml:space="preserve"> דוד המלך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2D0630BA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F585DC8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38D880F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2C56BB">
        <w:rPr>
          <w:rStyle w:val="default"/>
          <w:rFonts w:cs="FrankRuehl" w:hint="cs"/>
          <w:rtl/>
          <w:lang w:eastAsia="en-US"/>
        </w:rPr>
        <w:t>150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4C2BA1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2C56BB">
        <w:rPr>
          <w:rStyle w:val="default"/>
          <w:rFonts w:cs="FrankRuehl" w:hint="cs"/>
          <w:rtl/>
          <w:lang w:eastAsia="en-US"/>
        </w:rPr>
        <w:t>הרשות המקומית לוד בשכונת רסקו; המתחם תחום בשדרות דוד המלך מצפון, שדרות ירושלים ממזרח, רח' ארלוזורוב מדרום ושדרות שלמה המלך ממערב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AA6170">
        <w:rPr>
          <w:rStyle w:val="default"/>
          <w:rFonts w:cs="FrankRuehl" w:hint="cs"/>
          <w:rtl/>
          <w:lang w:eastAsia="en-US"/>
        </w:rPr>
        <w:t xml:space="preserve">הם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F26D1F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18817E0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C1272E2">
          <v:shape id="_x0000_s2172" type="#_x0000_t202" style="position:absolute;left:0;text-align:left;margin-left:470.25pt;margin-top:6.55pt;width:1in;height:18.9pt;z-index:251658752" filled="f" stroked="f">
            <v:textbox inset="1mm,0,1mm,0">
              <w:txbxContent>
                <w:p w14:paraId="6501AEB0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</w:t>
      </w:r>
      <w:r w:rsidR="00AA6170">
        <w:rPr>
          <w:rStyle w:val="default"/>
          <w:rFonts w:cs="FrankRuehl" w:hint="cs"/>
          <w:rtl/>
          <w:lang w:eastAsia="en-US"/>
        </w:rPr>
        <w:t>ים</w:t>
      </w:r>
      <w:r w:rsidR="00343EC2">
        <w:rPr>
          <w:rStyle w:val="default"/>
          <w:rFonts w:cs="FrankRuehl" w:hint="cs"/>
          <w:rtl/>
          <w:lang w:eastAsia="en-US"/>
        </w:rPr>
        <w:t xml:space="preserve">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3D08D114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5062"/>
        <w:gridCol w:w="2261"/>
      </w:tblGrid>
      <w:tr w:rsidR="002C56BB" w:rsidRPr="009D660B" w14:paraId="47B83F1B" w14:textId="77777777" w:rsidTr="004E155B">
        <w:tc>
          <w:tcPr>
            <w:tcW w:w="0" w:type="auto"/>
            <w:shd w:val="clear" w:color="auto" w:fill="auto"/>
          </w:tcPr>
          <w:p w14:paraId="1649CAE7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5062" w:type="dxa"/>
            <w:shd w:val="clear" w:color="auto" w:fill="auto"/>
          </w:tcPr>
          <w:p w14:paraId="27F9C335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261" w:type="dxa"/>
            <w:shd w:val="clear" w:color="auto" w:fill="auto"/>
          </w:tcPr>
          <w:p w14:paraId="33C28014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2C56BB" w:rsidRPr="009D660B" w14:paraId="168B14B5" w14:textId="77777777" w:rsidTr="004E155B">
        <w:tc>
          <w:tcPr>
            <w:tcW w:w="0" w:type="auto"/>
            <w:shd w:val="clear" w:color="auto" w:fill="auto"/>
          </w:tcPr>
          <w:p w14:paraId="0259BF5C" w14:textId="77777777" w:rsidR="008A082A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3961</w:t>
            </w:r>
          </w:p>
        </w:tc>
        <w:tc>
          <w:tcPr>
            <w:tcW w:w="5062" w:type="dxa"/>
            <w:shd w:val="clear" w:color="auto" w:fill="auto"/>
          </w:tcPr>
          <w:p w14:paraId="480EEA03" w14:textId="77777777" w:rsidR="008A082A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</w:t>
            </w:r>
          </w:p>
        </w:tc>
        <w:tc>
          <w:tcPr>
            <w:tcW w:w="2261" w:type="dxa"/>
            <w:shd w:val="clear" w:color="auto" w:fill="auto"/>
          </w:tcPr>
          <w:p w14:paraId="7F345AC4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2C56BB" w:rsidRPr="009D660B" w14:paraId="43D570C9" w14:textId="77777777" w:rsidTr="004E155B">
        <w:tc>
          <w:tcPr>
            <w:tcW w:w="0" w:type="auto"/>
            <w:shd w:val="clear" w:color="auto" w:fill="auto"/>
          </w:tcPr>
          <w:p w14:paraId="70A60ED6" w14:textId="77777777" w:rsidR="00F26D1F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4024</w:t>
            </w:r>
          </w:p>
        </w:tc>
        <w:tc>
          <w:tcPr>
            <w:tcW w:w="5062" w:type="dxa"/>
            <w:shd w:val="clear" w:color="auto" w:fill="auto"/>
          </w:tcPr>
          <w:p w14:paraId="2D941297" w14:textId="77777777" w:rsidR="00F26D1F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362-338, 366, 367, 382-374, 384, 385, 399, 400, 428-417, 450-430</w:t>
            </w:r>
          </w:p>
        </w:tc>
        <w:tc>
          <w:tcPr>
            <w:tcW w:w="2261" w:type="dxa"/>
            <w:shd w:val="clear" w:color="auto" w:fill="auto"/>
          </w:tcPr>
          <w:p w14:paraId="249A0598" w14:textId="77777777" w:rsidR="00F26D1F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191, 295, 383, 398</w:t>
            </w:r>
          </w:p>
        </w:tc>
      </w:tr>
      <w:tr w:rsidR="002C56BB" w:rsidRPr="009D660B" w14:paraId="232C28AC" w14:textId="77777777" w:rsidTr="004E155B">
        <w:tc>
          <w:tcPr>
            <w:tcW w:w="0" w:type="auto"/>
            <w:shd w:val="clear" w:color="auto" w:fill="auto"/>
          </w:tcPr>
          <w:p w14:paraId="6E549D51" w14:textId="77777777" w:rsidR="002C56BB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4011</w:t>
            </w:r>
          </w:p>
        </w:tc>
        <w:tc>
          <w:tcPr>
            <w:tcW w:w="5062" w:type="dxa"/>
            <w:shd w:val="clear" w:color="auto" w:fill="auto"/>
          </w:tcPr>
          <w:p w14:paraId="3F242583" w14:textId="77777777" w:rsidR="002C56BB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87, 90, 106</w:t>
            </w:r>
          </w:p>
        </w:tc>
        <w:tc>
          <w:tcPr>
            <w:tcW w:w="2261" w:type="dxa"/>
            <w:shd w:val="clear" w:color="auto" w:fill="auto"/>
          </w:tcPr>
          <w:p w14:paraId="68BFDA72" w14:textId="77777777" w:rsidR="002C56BB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75, 107</w:t>
            </w:r>
          </w:p>
        </w:tc>
      </w:tr>
      <w:tr w:rsidR="002C56BB" w:rsidRPr="009D660B" w14:paraId="098FE54C" w14:textId="77777777" w:rsidTr="004E155B">
        <w:tc>
          <w:tcPr>
            <w:tcW w:w="0" w:type="auto"/>
            <w:shd w:val="clear" w:color="auto" w:fill="auto"/>
          </w:tcPr>
          <w:p w14:paraId="70211F7B" w14:textId="77777777" w:rsidR="00AA6170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4541</w:t>
            </w:r>
          </w:p>
        </w:tc>
        <w:tc>
          <w:tcPr>
            <w:tcW w:w="5062" w:type="dxa"/>
            <w:shd w:val="clear" w:color="auto" w:fill="auto"/>
          </w:tcPr>
          <w:p w14:paraId="41C19916" w14:textId="77777777" w:rsidR="00AA6170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190</w:t>
            </w:r>
          </w:p>
        </w:tc>
        <w:tc>
          <w:tcPr>
            <w:tcW w:w="2261" w:type="dxa"/>
            <w:shd w:val="clear" w:color="auto" w:fill="auto"/>
          </w:tcPr>
          <w:p w14:paraId="3B1AADF2" w14:textId="77777777" w:rsidR="00AA6170" w:rsidRPr="009D660B" w:rsidRDefault="002C56B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207</w:t>
            </w:r>
          </w:p>
        </w:tc>
      </w:tr>
    </w:tbl>
    <w:p w14:paraId="705C59EA" w14:textId="77777777" w:rsidR="0005290E" w:rsidRPr="003B4E86" w:rsidRDefault="000529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F266E3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61D61F" w14:textId="77777777"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2360644A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43F43CA1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BC6CCD9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4AD6AEF" w14:textId="77777777" w:rsidR="00A25A8B" w:rsidRDefault="00A25A8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BEC4550" w14:textId="77777777" w:rsidR="00A25A8B" w:rsidRDefault="00A25A8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22BFCE1" w14:textId="77777777" w:rsidR="00A25A8B" w:rsidRDefault="00A25A8B" w:rsidP="00A25A8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C913674" w14:textId="77777777" w:rsidR="008F28BA" w:rsidRPr="00A25A8B" w:rsidRDefault="008F28BA" w:rsidP="00A25A8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A25A8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F055" w14:textId="77777777" w:rsidR="000648D3" w:rsidRDefault="000648D3">
      <w:r>
        <w:separator/>
      </w:r>
    </w:p>
  </w:endnote>
  <w:endnote w:type="continuationSeparator" w:id="0">
    <w:p w14:paraId="63F0AEA6" w14:textId="77777777" w:rsidR="000648D3" w:rsidRDefault="0006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3BF6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F13250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C80E12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2FC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25A8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7EDA56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2EF334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E2EE6" w14:textId="77777777" w:rsidR="000648D3" w:rsidRDefault="000648D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20AF41" w14:textId="77777777" w:rsidR="000648D3" w:rsidRDefault="000648D3">
      <w:pPr>
        <w:spacing w:before="60" w:line="240" w:lineRule="auto"/>
        <w:ind w:right="1134"/>
      </w:pPr>
      <w:r>
        <w:separator/>
      </w:r>
    </w:p>
  </w:footnote>
  <w:footnote w:id="1">
    <w:p w14:paraId="1409CC09" w14:textId="77777777" w:rsidR="004A7045" w:rsidRDefault="00721859" w:rsidP="004A70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4A7045">
          <w:rPr>
            <w:rStyle w:val="Hyperlink"/>
            <w:rFonts w:hint="cs"/>
            <w:sz w:val="20"/>
            <w:rtl/>
            <w:lang w:eastAsia="en-US"/>
          </w:rPr>
          <w:t>ק"ת</w:t>
        </w:r>
        <w:r w:rsidRPr="004A7045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4A7045">
          <w:rPr>
            <w:rStyle w:val="Hyperlink"/>
            <w:rFonts w:hint="cs"/>
            <w:sz w:val="20"/>
            <w:rtl/>
            <w:lang w:eastAsia="en-US"/>
          </w:rPr>
          <w:t>פ"ב</w:t>
        </w:r>
        <w:r w:rsidRPr="004A7045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4A7045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</w:t>
      </w:r>
      <w:r w:rsidR="005C6BD5">
        <w:rPr>
          <w:rFonts w:hint="cs"/>
          <w:sz w:val="20"/>
          <w:rtl/>
          <w:lang w:eastAsia="en-US"/>
        </w:rPr>
        <w:t>9</w:t>
      </w:r>
      <w:r w:rsidR="0005290E">
        <w:rPr>
          <w:rFonts w:hint="cs"/>
          <w:sz w:val="20"/>
          <w:rtl/>
          <w:lang w:eastAsia="en-US"/>
        </w:rPr>
        <w:t>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82EE9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36C605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FB885D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2941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05290E">
      <w:rPr>
        <w:rFonts w:hint="cs"/>
        <w:color w:val="000000"/>
        <w:sz w:val="28"/>
        <w:szCs w:val="28"/>
        <w:rtl/>
        <w:lang w:eastAsia="en-US"/>
      </w:rPr>
      <w:t xml:space="preserve">לוד </w:t>
    </w:r>
    <w:r w:rsidR="0005290E">
      <w:rPr>
        <w:color w:val="000000"/>
        <w:sz w:val="28"/>
        <w:szCs w:val="28"/>
        <w:rtl/>
        <w:lang w:eastAsia="en-US"/>
      </w:rPr>
      <w:t>–</w:t>
    </w:r>
    <w:r w:rsidR="0005290E">
      <w:rPr>
        <w:rFonts w:hint="cs"/>
        <w:color w:val="000000"/>
        <w:sz w:val="28"/>
        <w:szCs w:val="28"/>
        <w:rtl/>
        <w:lang w:eastAsia="en-US"/>
      </w:rPr>
      <w:t xml:space="preserve"> דוד המלך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6566962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B9B337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5290E"/>
    <w:rsid w:val="000648D3"/>
    <w:rsid w:val="0009628F"/>
    <w:rsid w:val="000A0078"/>
    <w:rsid w:val="000A4C93"/>
    <w:rsid w:val="000C79F9"/>
    <w:rsid w:val="000D08C7"/>
    <w:rsid w:val="00103E25"/>
    <w:rsid w:val="00104165"/>
    <w:rsid w:val="00106937"/>
    <w:rsid w:val="00106F2A"/>
    <w:rsid w:val="001625B8"/>
    <w:rsid w:val="0016778C"/>
    <w:rsid w:val="00176729"/>
    <w:rsid w:val="00186B84"/>
    <w:rsid w:val="001B274F"/>
    <w:rsid w:val="001B3C04"/>
    <w:rsid w:val="001C7939"/>
    <w:rsid w:val="001F482F"/>
    <w:rsid w:val="002002A2"/>
    <w:rsid w:val="002069BD"/>
    <w:rsid w:val="00221B98"/>
    <w:rsid w:val="00225276"/>
    <w:rsid w:val="00262965"/>
    <w:rsid w:val="00272590"/>
    <w:rsid w:val="002826E1"/>
    <w:rsid w:val="002828EA"/>
    <w:rsid w:val="002C3444"/>
    <w:rsid w:val="002C56BB"/>
    <w:rsid w:val="00326D31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746E"/>
    <w:rsid w:val="00473DBF"/>
    <w:rsid w:val="004A7045"/>
    <w:rsid w:val="004C2BA1"/>
    <w:rsid w:val="004C6209"/>
    <w:rsid w:val="004D38FF"/>
    <w:rsid w:val="004D63B4"/>
    <w:rsid w:val="004E155B"/>
    <w:rsid w:val="004F372C"/>
    <w:rsid w:val="00500070"/>
    <w:rsid w:val="00500B86"/>
    <w:rsid w:val="00506BE6"/>
    <w:rsid w:val="0051550F"/>
    <w:rsid w:val="00515F1A"/>
    <w:rsid w:val="005229CA"/>
    <w:rsid w:val="00554001"/>
    <w:rsid w:val="00566D86"/>
    <w:rsid w:val="00581DFF"/>
    <w:rsid w:val="0058465B"/>
    <w:rsid w:val="005854F0"/>
    <w:rsid w:val="005B6C00"/>
    <w:rsid w:val="005C6BD5"/>
    <w:rsid w:val="005E6E03"/>
    <w:rsid w:val="005F5EB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50AF0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95766"/>
    <w:rsid w:val="009C6621"/>
    <w:rsid w:val="009D660B"/>
    <w:rsid w:val="009E4C88"/>
    <w:rsid w:val="00A21B4B"/>
    <w:rsid w:val="00A25A8B"/>
    <w:rsid w:val="00A52F1E"/>
    <w:rsid w:val="00A96C8C"/>
    <w:rsid w:val="00AA28C3"/>
    <w:rsid w:val="00AA6170"/>
    <w:rsid w:val="00AA7B87"/>
    <w:rsid w:val="00AE2DF8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3638F"/>
    <w:rsid w:val="00C53C34"/>
    <w:rsid w:val="00C8063A"/>
    <w:rsid w:val="00CB43A9"/>
    <w:rsid w:val="00CB7A00"/>
    <w:rsid w:val="00D1596E"/>
    <w:rsid w:val="00D6309D"/>
    <w:rsid w:val="00D67C1D"/>
    <w:rsid w:val="00D70954"/>
    <w:rsid w:val="00D97FFA"/>
    <w:rsid w:val="00DB296E"/>
    <w:rsid w:val="00DD4397"/>
    <w:rsid w:val="00E01706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26D1F"/>
    <w:rsid w:val="00F56F93"/>
    <w:rsid w:val="00F63D99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325C1F4D"/>
  <w15:chartTrackingRefBased/>
  <w15:docId w15:val="{E37FB2C1-0199-432C-9C49-24EF5655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1743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לוד – דוד המלך), תשפ"ב-2022</vt:lpwstr>
  </property>
  <property fmtid="{D5CDD505-2E9C-101B-9397-08002B2CF9AE}" pid="5" name="LAWNUMBER">
    <vt:lpwstr>0592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3XאX3X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2092‏</vt:lpwstr>
  </property>
</Properties>
</file>