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25474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54744">
        <w:rPr>
          <w:rFonts w:hint="cs"/>
          <w:rtl/>
          <w:lang w:eastAsia="en-US"/>
        </w:rPr>
        <w:t xml:space="preserve">טורעאן </w:t>
      </w:r>
      <w:r w:rsidR="00254744">
        <w:rPr>
          <w:rtl/>
          <w:lang w:eastAsia="en-US"/>
        </w:rPr>
        <w:t>–</w:t>
      </w:r>
      <w:r w:rsidR="00254744">
        <w:rPr>
          <w:rFonts w:hint="cs"/>
          <w:rtl/>
          <w:lang w:eastAsia="en-US"/>
        </w:rPr>
        <w:t xml:space="preserve"> הרחבה צפונית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61061" w:rsidRPr="00561061" w:rsidTr="005610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5610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61061" w:rsidRPr="00561061" w:rsidTr="005610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5610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61061" w:rsidRPr="00561061" w:rsidTr="005610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5610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61061" w:rsidRPr="00561061" w:rsidRDefault="00561061" w:rsidP="0056106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25474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254744">
        <w:rPr>
          <w:rFonts w:hint="cs"/>
          <w:rtl/>
          <w:lang w:eastAsia="en-US"/>
        </w:rPr>
        <w:t xml:space="preserve">טורעאן </w:t>
      </w:r>
      <w:r w:rsidR="00254744">
        <w:rPr>
          <w:rtl/>
          <w:lang w:eastAsia="en-US"/>
        </w:rPr>
        <w:t>–</w:t>
      </w:r>
      <w:r w:rsidR="00254744">
        <w:rPr>
          <w:rFonts w:hint="cs"/>
          <w:rtl/>
          <w:lang w:eastAsia="en-US"/>
        </w:rPr>
        <w:t xml:space="preserve"> הרחבה צפונית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:rsidR="009E4C88" w:rsidRDefault="009E4C88" w:rsidP="00191E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91E65">
        <w:rPr>
          <w:rStyle w:val="default"/>
          <w:rFonts w:cs="FrankRuehl" w:hint="cs"/>
          <w:rtl/>
        </w:rPr>
        <w:t xml:space="preserve">טורעאן </w:t>
      </w:r>
      <w:r w:rsidR="00191E65">
        <w:rPr>
          <w:rStyle w:val="default"/>
          <w:rFonts w:cs="FrankRuehl"/>
          <w:rtl/>
        </w:rPr>
        <w:t>–</w:t>
      </w:r>
      <w:r w:rsidR="00191E65">
        <w:rPr>
          <w:rStyle w:val="default"/>
          <w:rFonts w:cs="FrankRuehl" w:hint="cs"/>
          <w:rtl/>
        </w:rPr>
        <w:t xml:space="preserve"> הרחבה צפונית</w:t>
      </w:r>
      <w:r w:rsidR="00E52964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E52964" w:rsidRDefault="009E4C88" w:rsidP="00191E6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191E65">
        <w:rPr>
          <w:rStyle w:val="default"/>
          <w:rFonts w:cs="FrankRuehl" w:hint="cs"/>
          <w:rtl/>
          <w:lang w:eastAsia="en-US"/>
        </w:rPr>
        <w:t>335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52964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 xml:space="preserve">מחוז </w:t>
      </w:r>
      <w:r w:rsidR="00191E65">
        <w:rPr>
          <w:rStyle w:val="default"/>
          <w:rFonts w:cs="FrankRuehl" w:hint="cs"/>
          <w:rtl/>
          <w:lang w:eastAsia="en-US"/>
        </w:rPr>
        <w:t>הצפון</w:t>
      </w:r>
      <w:r w:rsidR="006522AB">
        <w:rPr>
          <w:rStyle w:val="default"/>
          <w:rFonts w:cs="FrankRuehl" w:hint="cs"/>
          <w:rtl/>
          <w:lang w:eastAsia="en-US"/>
        </w:rPr>
        <w:t xml:space="preserve">; </w:t>
      </w:r>
      <w:r w:rsidR="00191E65">
        <w:rPr>
          <w:rStyle w:val="default"/>
          <w:rFonts w:cs="FrankRuehl" w:hint="cs"/>
          <w:rtl/>
          <w:lang w:eastAsia="en-US"/>
        </w:rPr>
        <w:t>המתחם מצוי בתחום ה</w:t>
      </w:r>
      <w:r w:rsidR="00E52964">
        <w:rPr>
          <w:rStyle w:val="default"/>
          <w:rFonts w:cs="FrankRuehl" w:hint="cs"/>
          <w:rtl/>
          <w:lang w:eastAsia="en-US"/>
        </w:rPr>
        <w:t>שיפוט המועצה המקומית</w:t>
      </w:r>
      <w:r w:rsidR="00191E65">
        <w:rPr>
          <w:rStyle w:val="default"/>
          <w:rFonts w:cs="FrankRuehl" w:hint="cs"/>
          <w:rtl/>
          <w:lang w:eastAsia="en-US"/>
        </w:rPr>
        <w:t xml:space="preserve"> טורעאן בחלקו הצפוני של היישוב טורעאן, מצפון למצפה נטופה וממזרח לבית רימון</w:t>
      </w:r>
      <w:r w:rsidR="00CB43A9">
        <w:rPr>
          <w:rStyle w:val="default"/>
          <w:rFonts w:cs="FrankRuehl" w:hint="cs"/>
          <w:rtl/>
          <w:lang w:eastAsia="en-US"/>
        </w:rPr>
        <w:t>;</w:t>
      </w:r>
    </w:p>
    <w:p w:rsidR="009E4C88" w:rsidRDefault="00343EC2" w:rsidP="00E529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גבולותיו הם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E52964">
        <w:rPr>
          <w:rStyle w:val="default"/>
          <w:rFonts w:cs="FrankRuehl" w:hint="cs"/>
          <w:rtl/>
          <w:lang w:eastAsia="en-US"/>
        </w:rPr>
        <w:t>תל אביב</w:t>
      </w:r>
      <w:r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191E65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>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921"/>
        <w:gridCol w:w="1531"/>
        <w:gridCol w:w="3263"/>
        <w:gridCol w:w="2223"/>
      </w:tblGrid>
      <w:tr w:rsidR="00191E65" w:rsidRPr="00343EC2" w:rsidTr="00191E65">
        <w:tc>
          <w:tcPr>
            <w:tcW w:w="0" w:type="auto"/>
          </w:tcPr>
          <w:p w:rsidR="00191E65" w:rsidRPr="00343EC2" w:rsidRDefault="00191E65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191E65" w:rsidRPr="00343EC2" w:rsidRDefault="00191E65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191E65" w:rsidRPr="00343EC2" w:rsidRDefault="00191E65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:rsidR="00191E65" w:rsidRPr="00343EC2" w:rsidRDefault="00191E65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91E65" w:rsidRPr="00343EC2" w:rsidTr="00191E65"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16610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191E65" w:rsidRPr="00343EC2" w:rsidTr="00191E65"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16607</w:t>
            </w:r>
          </w:p>
        </w:tc>
        <w:tc>
          <w:tcPr>
            <w:tcW w:w="0" w:type="auto"/>
          </w:tcPr>
          <w:p w:rsidR="00191E65" w:rsidRPr="00343EC2" w:rsidRDefault="00191E65" w:rsidP="00AB69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7, 8, 27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2, 26, 28, 210, 216</w:t>
            </w:r>
          </w:p>
        </w:tc>
      </w:tr>
      <w:tr w:rsidR="00191E65" w:rsidRPr="00343EC2" w:rsidTr="00191E65"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16605</w:t>
            </w:r>
          </w:p>
        </w:tc>
        <w:tc>
          <w:tcPr>
            <w:tcW w:w="0" w:type="auto"/>
          </w:tcPr>
          <w:p w:rsidR="00191E65" w:rsidRPr="00343EC2" w:rsidRDefault="00191E65" w:rsidP="00AB69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14, 15, 16, 17, 18, 22, 23, 25</w:t>
            </w:r>
          </w:p>
        </w:tc>
        <w:tc>
          <w:tcPr>
            <w:tcW w:w="0" w:type="auto"/>
          </w:tcPr>
          <w:p w:rsidR="00191E65" w:rsidRPr="00343EC2" w:rsidRDefault="00191E65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8, 9, 13, 24</w:t>
            </w:r>
          </w:p>
        </w:tc>
      </w:tr>
    </w:tbl>
    <w:p w:rsidR="00254744" w:rsidRPr="003B4E86" w:rsidRDefault="002547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E52964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ז' בתמוז</w:t>
      </w:r>
      <w:r w:rsidR="006522AB">
        <w:rPr>
          <w:rFonts w:hint="cs"/>
          <w:rtl/>
          <w:lang w:eastAsia="en-US"/>
        </w:rPr>
        <w:t xml:space="preserve"> התשע"ה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24 ביוני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E52964">
        <w:rPr>
          <w:rFonts w:hint="cs"/>
          <w:sz w:val="22"/>
          <w:szCs w:val="22"/>
          <w:rtl/>
          <w:lang w:eastAsia="en-US"/>
        </w:rPr>
        <w:t>שר האוצר</w:t>
      </w:r>
    </w:p>
    <w:p w:rsidR="009E4C88" w:rsidRDefault="006522AB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E52964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254744" w:rsidRDefault="0025474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61061" w:rsidRDefault="0056106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61061" w:rsidRDefault="0056106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61061" w:rsidRDefault="00561061" w:rsidP="005610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561061" w:rsidRDefault="00E17771" w:rsidP="005610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56106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2AC" w:rsidRDefault="006512AC">
      <w:r>
        <w:separator/>
      </w:r>
    </w:p>
  </w:endnote>
  <w:endnote w:type="continuationSeparator" w:id="0">
    <w:p w:rsidR="006512AC" w:rsidRDefault="0065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061">
      <w:rPr>
        <w:rFonts w:cs="TopType Jerushalmi"/>
        <w:noProof/>
        <w:color w:val="000000"/>
        <w:sz w:val="14"/>
        <w:szCs w:val="14"/>
        <w:lang w:eastAsia="en-US"/>
      </w:rPr>
      <w:t>Z:\000-law\yael\2015\2015-07-07\tav\501_238.doc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6106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061">
      <w:rPr>
        <w:rFonts w:cs="TopType Jerushalmi"/>
        <w:noProof/>
        <w:color w:val="000000"/>
        <w:sz w:val="14"/>
        <w:szCs w:val="14"/>
        <w:lang w:eastAsia="en-US"/>
      </w:rPr>
      <w:t>Z:\000-law\yael\2015\2015-07-07\tav\501_238.doc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2AC" w:rsidRDefault="006512A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12AC" w:rsidRDefault="006512AC">
      <w:pPr>
        <w:spacing w:before="60" w:line="240" w:lineRule="auto"/>
        <w:ind w:right="1134"/>
      </w:pPr>
      <w:r>
        <w:separator/>
      </w:r>
    </w:p>
  </w:footnote>
  <w:footnote w:id="1">
    <w:p w:rsidR="00136C99" w:rsidRDefault="00721859" w:rsidP="00136C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36C9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36C9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136C99">
          <w:rPr>
            <w:rStyle w:val="Hyperlink"/>
            <w:rFonts w:hint="cs"/>
            <w:sz w:val="20"/>
            <w:rtl/>
            <w:lang w:eastAsia="en-US"/>
          </w:rPr>
          <w:t>ה</w:t>
        </w:r>
        <w:r w:rsidRPr="00136C9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52964" w:rsidRPr="00136C99">
          <w:rPr>
            <w:rStyle w:val="Hyperlink"/>
            <w:rFonts w:hint="cs"/>
            <w:sz w:val="20"/>
            <w:rtl/>
            <w:lang w:eastAsia="en-US"/>
          </w:rPr>
          <w:t>7529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E52964">
        <w:rPr>
          <w:rFonts w:hint="cs"/>
          <w:sz w:val="20"/>
          <w:rtl/>
          <w:lang w:eastAsia="en-US"/>
        </w:rPr>
        <w:t>6.7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E52964">
        <w:rPr>
          <w:rFonts w:hint="cs"/>
          <w:sz w:val="20"/>
          <w:rtl/>
          <w:lang w:eastAsia="en-US"/>
        </w:rPr>
        <w:t>1334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25474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54744">
      <w:rPr>
        <w:rFonts w:hint="cs"/>
        <w:color w:val="000000"/>
        <w:sz w:val="28"/>
        <w:szCs w:val="28"/>
        <w:rtl/>
        <w:lang w:eastAsia="en-US"/>
      </w:rPr>
      <w:t xml:space="preserve">טורעאן </w:t>
    </w:r>
    <w:r w:rsidR="00254744">
      <w:rPr>
        <w:color w:val="000000"/>
        <w:sz w:val="28"/>
        <w:szCs w:val="28"/>
        <w:rtl/>
        <w:lang w:eastAsia="en-US"/>
      </w:rPr>
      <w:t>–</w:t>
    </w:r>
    <w:r w:rsidR="00254744">
      <w:rPr>
        <w:rFonts w:hint="cs"/>
        <w:color w:val="000000"/>
        <w:sz w:val="28"/>
        <w:szCs w:val="28"/>
        <w:rtl/>
        <w:lang w:eastAsia="en-US"/>
      </w:rPr>
      <w:t xml:space="preserve"> הרחבה צפונית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94D46"/>
    <w:rsid w:val="00104165"/>
    <w:rsid w:val="00106F2A"/>
    <w:rsid w:val="00136C99"/>
    <w:rsid w:val="001625B8"/>
    <w:rsid w:val="00191E65"/>
    <w:rsid w:val="001B274F"/>
    <w:rsid w:val="001C7939"/>
    <w:rsid w:val="00200203"/>
    <w:rsid w:val="002002A2"/>
    <w:rsid w:val="002069BD"/>
    <w:rsid w:val="00221B98"/>
    <w:rsid w:val="00254744"/>
    <w:rsid w:val="002826E1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106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12AC"/>
    <w:rsid w:val="006522AB"/>
    <w:rsid w:val="006E7EB4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B69B6"/>
    <w:rsid w:val="00AE5D1F"/>
    <w:rsid w:val="00AF140A"/>
    <w:rsid w:val="00B2294E"/>
    <w:rsid w:val="00B75D04"/>
    <w:rsid w:val="00B85773"/>
    <w:rsid w:val="00B9242E"/>
    <w:rsid w:val="00BB29E7"/>
    <w:rsid w:val="00C53C34"/>
    <w:rsid w:val="00C71E40"/>
    <w:rsid w:val="00CB43A9"/>
    <w:rsid w:val="00CB7A00"/>
    <w:rsid w:val="00D6309D"/>
    <w:rsid w:val="00D67C1D"/>
    <w:rsid w:val="00DB296E"/>
    <w:rsid w:val="00E17771"/>
    <w:rsid w:val="00E243A1"/>
    <w:rsid w:val="00E52964"/>
    <w:rsid w:val="00E85CAB"/>
    <w:rsid w:val="00EA7AC2"/>
    <w:rsid w:val="00EF713E"/>
    <w:rsid w:val="00F00574"/>
    <w:rsid w:val="00F130DF"/>
    <w:rsid w:val="00F9483A"/>
    <w:rsid w:val="00F9732F"/>
    <w:rsid w:val="00FA5D77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75362FF-669D-4883-B5C9-7CBBC366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טורעאן - הרחבה צפונית), תשע"ה-2015</vt:lpwstr>
  </property>
  <property fmtid="{D5CDD505-2E9C-101B-9397-08002B2CF9AE}" pid="5" name="LAWNUMBER">
    <vt:lpwstr>0238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http://www.nevo.co.il/Law_word/law06/tak-7529.pdf;‎רשומות - תקנות כלליות#פורסם ק"ת תשע"ה מס' ‏‏7529 #מיום 6.7.2015 עמ' 1334‏</vt:lpwstr>
  </property>
</Properties>
</file>