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BC5AAB">
        <w:rPr>
          <w:rFonts w:hint="cs"/>
          <w:rtl/>
          <w:lang w:eastAsia="en-US"/>
        </w:rPr>
        <w:t>לוד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BC5AAB">
        <w:rPr>
          <w:rFonts w:hint="cs"/>
          <w:rtl/>
          <w:lang w:eastAsia="en-US"/>
        </w:rPr>
        <w:t>אילת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03AD3" w:rsidRPr="00003AD3" w:rsidTr="00003A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003A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03AD3" w:rsidRPr="00003AD3" w:rsidTr="00003A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003A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03AD3" w:rsidRPr="00003AD3" w:rsidTr="00003AD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003AD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03AD3" w:rsidRPr="00003AD3" w:rsidRDefault="00003AD3" w:rsidP="00003AD3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BC5AAB">
        <w:rPr>
          <w:rFonts w:hint="cs"/>
          <w:rtl/>
          <w:lang w:eastAsia="en-US"/>
        </w:rPr>
        <w:t>לוד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BC5AAB">
        <w:rPr>
          <w:rFonts w:hint="cs"/>
          <w:rtl/>
          <w:lang w:eastAsia="en-US"/>
        </w:rPr>
        <w:t>אילת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AD69BD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מתחם </w:t>
      </w:r>
      <w:r w:rsidR="00BC5AAB">
        <w:rPr>
          <w:rStyle w:val="default"/>
          <w:rFonts w:cs="FrankRuehl" w:hint="cs"/>
          <w:rtl/>
        </w:rPr>
        <w:t>לוד</w:t>
      </w:r>
      <w:r w:rsidR="00953FD4">
        <w:rPr>
          <w:rStyle w:val="default"/>
          <w:rFonts w:cs="FrankRuehl" w:hint="cs"/>
          <w:rtl/>
        </w:rPr>
        <w:t xml:space="preserve"> </w:t>
      </w:r>
      <w:r w:rsidR="00953FD4">
        <w:rPr>
          <w:rStyle w:val="default"/>
          <w:rFonts w:cs="FrankRuehl"/>
          <w:rtl/>
        </w:rPr>
        <w:t>–</w:t>
      </w:r>
      <w:r w:rsidR="00953FD4">
        <w:rPr>
          <w:rStyle w:val="default"/>
          <w:rFonts w:cs="FrankRuehl" w:hint="cs"/>
          <w:rtl/>
        </w:rPr>
        <w:t xml:space="preserve"> </w:t>
      </w:r>
      <w:r w:rsidR="00BC5AAB">
        <w:rPr>
          <w:rStyle w:val="default"/>
          <w:rFonts w:cs="FrankRuehl" w:hint="cs"/>
          <w:rtl/>
        </w:rPr>
        <w:t>אילת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BC5AAB">
        <w:rPr>
          <w:rStyle w:val="default"/>
          <w:rFonts w:cs="FrankRuehl" w:hint="cs"/>
          <w:rtl/>
          <w:lang w:eastAsia="en-US"/>
        </w:rPr>
        <w:t>53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BC5AAB">
        <w:rPr>
          <w:rStyle w:val="default"/>
          <w:rFonts w:cs="FrankRuehl" w:hint="cs"/>
          <w:rtl/>
          <w:lang w:eastAsia="en-US"/>
        </w:rPr>
        <w:t>המרכז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BC5AAB">
        <w:rPr>
          <w:rStyle w:val="default"/>
          <w:rFonts w:cs="FrankRuehl" w:hint="cs"/>
          <w:rtl/>
          <w:lang w:eastAsia="en-US"/>
        </w:rPr>
        <w:t>לוד, וגובל ברחוב שדרות הציונות מכיוון דרום מערב, ברחוב הנרייטה סולד מכיוון צפון מערב, בבית העלמין מכיוון צפון, וברחובות שפירא וי"א חללי מינכן מכיוון דרום מזרח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BA0D27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70.25pt;margin-top:6.55pt;width:1in;height:18pt;z-index:251658752" filled="f" stroked="f">
            <v:textbox inset="1mm,0,1mm,0">
              <w:txbxContent>
                <w:p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:rsidTr="00EF4706">
        <w:tc>
          <w:tcPr>
            <w:tcW w:w="992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3961</w:t>
            </w:r>
          </w:p>
        </w:tc>
        <w:tc>
          <w:tcPr>
            <w:tcW w:w="3260" w:type="dxa"/>
            <w:shd w:val="clear" w:color="auto" w:fill="auto"/>
          </w:tcPr>
          <w:p w:rsidR="006B02D6" w:rsidRPr="00853841" w:rsidRDefault="006B02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43, 51, 84</w:t>
            </w:r>
          </w:p>
        </w:tc>
      </w:tr>
      <w:tr w:rsidR="006B02D6" w:rsidRPr="00853841" w:rsidTr="00EF4706">
        <w:tc>
          <w:tcPr>
            <w:tcW w:w="992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4016</w:t>
            </w:r>
          </w:p>
        </w:tc>
        <w:tc>
          <w:tcPr>
            <w:tcW w:w="3260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164, 165, 192, 200, 202</w:t>
            </w:r>
          </w:p>
        </w:tc>
        <w:tc>
          <w:tcPr>
            <w:tcW w:w="3686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25, 155, 157, 163, 197-195, 199, 201</w:t>
            </w:r>
          </w:p>
        </w:tc>
      </w:tr>
      <w:tr w:rsidR="006B02D6" w:rsidRPr="00853841" w:rsidTr="00EF4706">
        <w:tc>
          <w:tcPr>
            <w:tcW w:w="992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4543</w:t>
            </w:r>
          </w:p>
        </w:tc>
        <w:tc>
          <w:tcPr>
            <w:tcW w:w="3260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4-2, 12-7, 36-33, 47-44, 57, 65-63, 74, 196, 197</w:t>
            </w:r>
          </w:p>
        </w:tc>
        <w:tc>
          <w:tcPr>
            <w:tcW w:w="3686" w:type="dxa"/>
            <w:shd w:val="clear" w:color="auto" w:fill="auto"/>
          </w:tcPr>
          <w:p w:rsidR="006B02D6" w:rsidRPr="00853841" w:rsidRDefault="00BA0D27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13, 15, 30, 41, 60-58, 100, 101, 102, 106, 121-116, 137, 199</w:t>
            </w:r>
          </w:p>
        </w:tc>
      </w:tr>
    </w:tbl>
    <w:p w:rsidR="00BC5AAB" w:rsidRPr="003B4E86" w:rsidRDefault="00BC5AA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AD69BD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ט"ז בטבת</w:t>
      </w:r>
      <w:r w:rsidR="00455E45">
        <w:rPr>
          <w:rFonts w:hint="cs"/>
          <w:rtl/>
          <w:lang w:eastAsia="en-US"/>
        </w:rPr>
        <w:t xml:space="preserve"> התש"ף (</w:t>
      </w:r>
      <w:r>
        <w:rPr>
          <w:rFonts w:hint="cs"/>
          <w:rtl/>
          <w:lang w:eastAsia="en-US"/>
        </w:rPr>
        <w:t>13 בינואר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E34356" w:rsidRDefault="00E3435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03AD3" w:rsidRDefault="00003AD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03AD3" w:rsidRDefault="00003AD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03AD3" w:rsidRDefault="00003AD3" w:rsidP="00003AD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569DF" w:rsidRPr="00003AD3" w:rsidRDefault="006569DF" w:rsidP="00003AD3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6569DF" w:rsidRPr="00003AD3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30B3" w:rsidRDefault="005730B3">
      <w:r>
        <w:separator/>
      </w:r>
    </w:p>
  </w:endnote>
  <w:endnote w:type="continuationSeparator" w:id="0">
    <w:p w:rsidR="005730B3" w:rsidRDefault="0057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03AD3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30B3" w:rsidRDefault="005730B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730B3" w:rsidRDefault="005730B3">
      <w:pPr>
        <w:spacing w:before="60" w:line="240" w:lineRule="auto"/>
        <w:ind w:right="1134"/>
      </w:pPr>
      <w:r>
        <w:separator/>
      </w:r>
    </w:p>
  </w:footnote>
  <w:footnote w:id="1">
    <w:p w:rsidR="000B3AFA" w:rsidRDefault="00721859" w:rsidP="000B3A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0B3AF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0B3AFA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0B3AFA">
          <w:rPr>
            <w:rStyle w:val="Hyperlink"/>
            <w:rFonts w:hint="cs"/>
            <w:sz w:val="20"/>
            <w:rtl/>
            <w:lang w:eastAsia="en-US"/>
          </w:rPr>
          <w:t>"ף</w:t>
        </w:r>
        <w:r w:rsidRPr="000B3AF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950EB6" w:rsidRPr="000B3AFA">
          <w:rPr>
            <w:rStyle w:val="Hyperlink"/>
            <w:rFonts w:hint="cs"/>
            <w:sz w:val="20"/>
            <w:rtl/>
            <w:lang w:eastAsia="en-US"/>
          </w:rPr>
          <w:t>83</w:t>
        </w:r>
        <w:r w:rsidR="0088190C" w:rsidRPr="000B3AFA">
          <w:rPr>
            <w:rStyle w:val="Hyperlink"/>
            <w:rFonts w:hint="cs"/>
            <w:sz w:val="20"/>
            <w:rtl/>
            <w:lang w:eastAsia="en-US"/>
          </w:rPr>
          <w:t>3</w:t>
        </w:r>
        <w:r w:rsidR="003D2011" w:rsidRPr="000B3AFA">
          <w:rPr>
            <w:rStyle w:val="Hyperlink"/>
            <w:rFonts w:hint="cs"/>
            <w:sz w:val="20"/>
            <w:rtl/>
            <w:lang w:eastAsia="en-US"/>
          </w:rPr>
          <w:t>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88190C">
        <w:rPr>
          <w:rFonts w:hint="cs"/>
          <w:sz w:val="20"/>
          <w:rtl/>
          <w:lang w:eastAsia="en-US"/>
        </w:rPr>
        <w:t>2</w:t>
      </w:r>
      <w:r w:rsidR="003D2011">
        <w:rPr>
          <w:rFonts w:hint="cs"/>
          <w:sz w:val="20"/>
          <w:rtl/>
          <w:lang w:eastAsia="en-US"/>
        </w:rPr>
        <w:t>3</w:t>
      </w:r>
      <w:r w:rsidR="0088190C">
        <w:rPr>
          <w:rFonts w:hint="cs"/>
          <w:sz w:val="20"/>
          <w:rtl/>
          <w:lang w:eastAsia="en-US"/>
        </w:rPr>
        <w:t>.1.2020</w:t>
      </w:r>
      <w:r>
        <w:rPr>
          <w:rFonts w:hint="cs"/>
          <w:sz w:val="20"/>
          <w:rtl/>
          <w:lang w:eastAsia="en-US"/>
        </w:rPr>
        <w:t xml:space="preserve"> עמ' </w:t>
      </w:r>
      <w:r w:rsidR="0088190C">
        <w:rPr>
          <w:rFonts w:hint="cs"/>
          <w:sz w:val="20"/>
          <w:rtl/>
          <w:lang w:eastAsia="en-US"/>
        </w:rPr>
        <w:t>4</w:t>
      </w:r>
      <w:r w:rsidR="003D2011">
        <w:rPr>
          <w:rFonts w:hint="cs"/>
          <w:sz w:val="20"/>
          <w:rtl/>
          <w:lang w:eastAsia="en-US"/>
        </w:rPr>
        <w:t>5</w:t>
      </w:r>
      <w:r w:rsidR="0088190C">
        <w:rPr>
          <w:rFonts w:hint="cs"/>
          <w:sz w:val="20"/>
          <w:rtl/>
          <w:lang w:eastAsia="en-US"/>
        </w:rPr>
        <w:t>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BC5AAB">
      <w:rPr>
        <w:rFonts w:hint="cs"/>
        <w:color w:val="000000"/>
        <w:sz w:val="28"/>
        <w:szCs w:val="28"/>
        <w:rtl/>
        <w:lang w:eastAsia="en-US"/>
      </w:rPr>
      <w:t>לוד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BC5AAB">
      <w:rPr>
        <w:rFonts w:hint="cs"/>
        <w:color w:val="000000"/>
        <w:sz w:val="28"/>
        <w:szCs w:val="28"/>
        <w:rtl/>
        <w:lang w:eastAsia="en-US"/>
      </w:rPr>
      <w:t>אילת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03AD3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B3AFA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730B3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3381"/>
    <w:rsid w:val="006569DF"/>
    <w:rsid w:val="00684B9B"/>
    <w:rsid w:val="0069068B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5AAB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CC085C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DF02FB"/>
    <w:rsid w:val="00E01CF5"/>
    <w:rsid w:val="00E15A0D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C201779-A371-478C-9F2F-8A44A46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1831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לוד – אילת), תש"ף-2020</vt:lpwstr>
  </property>
  <property fmtid="{D5CDD505-2E9C-101B-9397-08002B2CF9AE}" pid="5" name="LAWNUMBER">
    <vt:lpwstr>0223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http://www.nevo.co.il/Law_word/law06/tak-8333.pdf;‎רשומות - תקנות כלליות#פורסם ק"ת תש"ף מס' ‏‏8333 #מיום 23.1.2020 עמ' 456‏</vt:lpwstr>
  </property>
</Properties>
</file>