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CAB6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FF60BA">
        <w:rPr>
          <w:rFonts w:hint="cs"/>
          <w:rtl/>
          <w:lang w:eastAsia="en-US"/>
        </w:rPr>
        <w:t>לוד–העיר העתיקה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14:paraId="4307639C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0D853A0E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4B10F185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640E4B43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06400" w:rsidRPr="00C06400" w14:paraId="399FAB63" w14:textId="77777777" w:rsidTr="00C0640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6A4247" w14:textId="77777777" w:rsidR="00C06400" w:rsidRPr="00C06400" w:rsidRDefault="00C06400" w:rsidP="00C0640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E7D57B6" w14:textId="77777777" w:rsidR="00C06400" w:rsidRPr="00C06400" w:rsidRDefault="00C06400" w:rsidP="00C0640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599ACA9D" w14:textId="77777777" w:rsidR="00C06400" w:rsidRPr="00C06400" w:rsidRDefault="00C06400" w:rsidP="00C0640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C0640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5BDFA6" w14:textId="77777777" w:rsidR="00C06400" w:rsidRPr="00C06400" w:rsidRDefault="00C06400" w:rsidP="00C0640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06400" w:rsidRPr="00C06400" w14:paraId="729F4B6E" w14:textId="77777777" w:rsidTr="00C0640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7EC4C4" w14:textId="77777777" w:rsidR="00C06400" w:rsidRPr="00C06400" w:rsidRDefault="00C06400" w:rsidP="00C0640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434F57D6" w14:textId="77777777" w:rsidR="00C06400" w:rsidRPr="00C06400" w:rsidRDefault="00C06400" w:rsidP="00C0640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55E99544" w14:textId="77777777" w:rsidR="00C06400" w:rsidRPr="00C06400" w:rsidRDefault="00C06400" w:rsidP="00C0640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C0640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103A73" w14:textId="77777777" w:rsidR="00C06400" w:rsidRPr="00C06400" w:rsidRDefault="00C06400" w:rsidP="00C0640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06400" w:rsidRPr="00C06400" w14:paraId="200DBF21" w14:textId="77777777" w:rsidTr="00C0640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41DAC53" w14:textId="77777777" w:rsidR="00C06400" w:rsidRPr="00C06400" w:rsidRDefault="00C06400" w:rsidP="00C0640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6168E59C" w14:textId="77777777" w:rsidR="00C06400" w:rsidRPr="00C06400" w:rsidRDefault="00C06400" w:rsidP="00C0640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103D7C5F" w14:textId="77777777" w:rsidR="00C06400" w:rsidRPr="00C06400" w:rsidRDefault="00C06400" w:rsidP="00C0640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C0640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D9152A" w14:textId="77777777" w:rsidR="00C06400" w:rsidRPr="00C06400" w:rsidRDefault="00C06400" w:rsidP="00C0640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4A6A2AC8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5F813AB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FF60BA">
        <w:rPr>
          <w:rFonts w:hint="cs"/>
          <w:rtl/>
          <w:lang w:eastAsia="en-US"/>
        </w:rPr>
        <w:t>לוד–העיר העתיקה</w:t>
      </w:r>
      <w:r w:rsidR="003475FC">
        <w:rPr>
          <w:rFonts w:hint="cs"/>
          <w:rtl/>
          <w:lang w:eastAsia="en-US"/>
        </w:rPr>
        <w:t>),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79177F3A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9378C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5C7C2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5F3F1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1578DACB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D20E947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3364AE2D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8671F0">
        <w:rPr>
          <w:rStyle w:val="default"/>
          <w:rFonts w:cs="FrankRuehl" w:hint="cs"/>
          <w:rtl/>
        </w:rPr>
        <w:t>לוד–העיר העתיקה</w:t>
      </w:r>
      <w:r w:rsidR="007A2C18">
        <w:rPr>
          <w:rStyle w:val="default"/>
          <w:rFonts w:cs="FrankRuehl" w:hint="cs"/>
          <w:rtl/>
        </w:rPr>
        <w:t xml:space="preserve"> </w:t>
      </w:r>
      <w:r w:rsidR="00343EC2">
        <w:rPr>
          <w:rStyle w:val="default"/>
          <w:rFonts w:cs="FrankRuehl" w:hint="cs"/>
          <w:rtl/>
        </w:rPr>
        <w:t xml:space="preserve">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5F3F10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586E6800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32A228C7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57621A58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8671F0">
        <w:rPr>
          <w:rStyle w:val="default"/>
          <w:rFonts w:cs="FrankRuehl" w:hint="cs"/>
          <w:rtl/>
          <w:lang w:eastAsia="en-US"/>
        </w:rPr>
        <w:t>295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8671F0">
        <w:rPr>
          <w:rStyle w:val="default"/>
          <w:rFonts w:cs="FrankRuehl" w:hint="cs"/>
          <w:rtl/>
          <w:lang w:eastAsia="en-US"/>
        </w:rPr>
        <w:t>המרכז</w:t>
      </w:r>
      <w:r w:rsidR="00792DED">
        <w:rPr>
          <w:rStyle w:val="default"/>
          <w:rFonts w:cs="FrankRuehl" w:hint="cs"/>
          <w:rtl/>
          <w:lang w:eastAsia="en-US"/>
        </w:rPr>
        <w:t xml:space="preserve">; </w:t>
      </w:r>
      <w:r w:rsidR="009378C5">
        <w:rPr>
          <w:rStyle w:val="default"/>
          <w:rFonts w:cs="FrankRuehl" w:hint="cs"/>
          <w:rtl/>
          <w:lang w:eastAsia="en-US"/>
        </w:rPr>
        <w:t xml:space="preserve">המתחם מצוי בתחום השיפוט של הרשות המקומית </w:t>
      </w:r>
      <w:r w:rsidR="008671F0">
        <w:rPr>
          <w:rStyle w:val="default"/>
          <w:rFonts w:cs="FrankRuehl" w:hint="cs"/>
          <w:rtl/>
          <w:lang w:eastAsia="en-US"/>
        </w:rPr>
        <w:t>לוד, סמוך לכניסה ללוד מכיוון דרך 443 וצומת גנתון, מזרחית לרחוב פרימן, דרומית לרחוב החלוץ, מערבית לרחוב הרצוג ושדרות צה"ל המחברים את מרכז העיר המתחדש למרכזי העירוני וצפונית לרחוב החשמונאים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26209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8671F0">
        <w:rPr>
          <w:rStyle w:val="default"/>
          <w:rFonts w:cs="FrankRuehl" w:hint="cs"/>
          <w:rtl/>
          <w:lang w:eastAsia="en-US"/>
        </w:rPr>
        <w:t>בית הדפוס 12</w:t>
      </w:r>
      <w:r w:rsidR="00A26209">
        <w:rPr>
          <w:rStyle w:val="default"/>
          <w:rFonts w:cs="FrankRuehl" w:hint="cs"/>
          <w:rtl/>
          <w:lang w:eastAsia="en-US"/>
        </w:rPr>
        <w:t xml:space="preserve">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8671F0">
        <w:rPr>
          <w:rStyle w:val="default"/>
          <w:rFonts w:cs="FrankRuehl" w:hint="cs"/>
          <w:rtl/>
          <w:lang w:eastAsia="en-US"/>
        </w:rPr>
        <w:t>ה</w:t>
      </w:r>
      <w:r w:rsidR="00215A95">
        <w:rPr>
          <w:rStyle w:val="default"/>
          <w:rFonts w:cs="FrankRuehl" w:hint="cs"/>
          <w:rtl/>
          <w:lang w:eastAsia="en-US"/>
        </w:rPr>
        <w:t>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1E98A211" w14:textId="77777777" w:rsidR="005C7C2B" w:rsidRDefault="009E4C88" w:rsidP="006907F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120327EC">
          <v:shape id="_x0000_s1141" type="#_x0000_t202" style="position:absolute;left:0;text-align:left;margin-left:470.25pt;margin-top:6.55pt;width:1in;height:19.05pt;z-index:251657728" filled="f" stroked="f">
            <v:textbox inset="1mm,0,1mm,0">
              <w:txbxContent>
                <w:p w14:paraId="439C3E6D" w14:textId="77777777" w:rsidR="006907FF" w:rsidRDefault="006907FF" w:rsidP="006907F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5C7C2B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14:paraId="608E2663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3969"/>
        <w:gridCol w:w="2977"/>
      </w:tblGrid>
      <w:tr w:rsidR="00A26209" w:rsidRPr="00853841" w14:paraId="37D875C5" w14:textId="77777777" w:rsidTr="00D4327E">
        <w:tc>
          <w:tcPr>
            <w:tcW w:w="992" w:type="dxa"/>
            <w:shd w:val="clear" w:color="auto" w:fill="auto"/>
          </w:tcPr>
          <w:p w14:paraId="4863975B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969" w:type="dxa"/>
            <w:shd w:val="clear" w:color="auto" w:fill="auto"/>
          </w:tcPr>
          <w:p w14:paraId="2FB24D69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="00A26209"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2977" w:type="dxa"/>
            <w:shd w:val="clear" w:color="auto" w:fill="auto"/>
          </w:tcPr>
          <w:p w14:paraId="66507655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="00A26209"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26209" w:rsidRPr="00853841" w14:paraId="5ECD6815" w14:textId="77777777" w:rsidTr="00D4327E">
        <w:tc>
          <w:tcPr>
            <w:tcW w:w="992" w:type="dxa"/>
            <w:shd w:val="clear" w:color="auto" w:fill="auto"/>
          </w:tcPr>
          <w:p w14:paraId="062AC6B5" w14:textId="77777777" w:rsidR="00A26209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3961</w:t>
            </w:r>
          </w:p>
        </w:tc>
        <w:tc>
          <w:tcPr>
            <w:tcW w:w="3969" w:type="dxa"/>
            <w:shd w:val="clear" w:color="auto" w:fill="auto"/>
          </w:tcPr>
          <w:p w14:paraId="3215D3D0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0A6BA609" w14:textId="77777777" w:rsidR="00A26209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</w:t>
            </w:r>
          </w:p>
        </w:tc>
      </w:tr>
      <w:tr w:rsidR="00EF4ACA" w:rsidRPr="00853841" w14:paraId="60B3FD76" w14:textId="77777777" w:rsidTr="00D4327E">
        <w:tc>
          <w:tcPr>
            <w:tcW w:w="992" w:type="dxa"/>
            <w:shd w:val="clear" w:color="auto" w:fill="auto"/>
          </w:tcPr>
          <w:p w14:paraId="091ECC0B" w14:textId="77777777" w:rsidR="00EF4ACA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3973</w:t>
            </w:r>
          </w:p>
        </w:tc>
        <w:tc>
          <w:tcPr>
            <w:tcW w:w="3969" w:type="dxa"/>
            <w:shd w:val="clear" w:color="auto" w:fill="auto"/>
          </w:tcPr>
          <w:p w14:paraId="7D867060" w14:textId="77777777" w:rsidR="00EF4ACA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48-40</w:t>
            </w:r>
          </w:p>
        </w:tc>
        <w:tc>
          <w:tcPr>
            <w:tcW w:w="2977" w:type="dxa"/>
            <w:shd w:val="clear" w:color="auto" w:fill="auto"/>
          </w:tcPr>
          <w:p w14:paraId="2991FD6D" w14:textId="77777777" w:rsidR="00EF4ACA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33, 39-37, 62, 73</w:t>
            </w:r>
          </w:p>
        </w:tc>
      </w:tr>
      <w:tr w:rsidR="00EF4ACA" w:rsidRPr="00853841" w14:paraId="7D05552A" w14:textId="77777777" w:rsidTr="00D4327E">
        <w:tc>
          <w:tcPr>
            <w:tcW w:w="992" w:type="dxa"/>
            <w:shd w:val="clear" w:color="auto" w:fill="auto"/>
          </w:tcPr>
          <w:p w14:paraId="740F80EA" w14:textId="77777777" w:rsidR="00EF4ACA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4548</w:t>
            </w:r>
          </w:p>
        </w:tc>
        <w:tc>
          <w:tcPr>
            <w:tcW w:w="3969" w:type="dxa"/>
            <w:shd w:val="clear" w:color="auto" w:fill="auto"/>
          </w:tcPr>
          <w:p w14:paraId="11D1842D" w14:textId="77777777" w:rsidR="00EF4ACA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79-1, 97-85, 99, 101, 110-103, 112, 115, 116, 124-118</w:t>
            </w:r>
          </w:p>
        </w:tc>
        <w:tc>
          <w:tcPr>
            <w:tcW w:w="2977" w:type="dxa"/>
            <w:shd w:val="clear" w:color="auto" w:fill="auto"/>
          </w:tcPr>
          <w:p w14:paraId="2DC86CDE" w14:textId="77777777" w:rsidR="00EF4ACA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98, 102, 111, 113, 114</w:t>
            </w:r>
          </w:p>
        </w:tc>
      </w:tr>
      <w:tr w:rsidR="008671F0" w:rsidRPr="00853841" w14:paraId="36E62871" w14:textId="77777777" w:rsidTr="00D4327E">
        <w:tc>
          <w:tcPr>
            <w:tcW w:w="992" w:type="dxa"/>
            <w:shd w:val="clear" w:color="auto" w:fill="auto"/>
          </w:tcPr>
          <w:p w14:paraId="50A12843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5155</w:t>
            </w:r>
          </w:p>
        </w:tc>
        <w:tc>
          <w:tcPr>
            <w:tcW w:w="3969" w:type="dxa"/>
            <w:shd w:val="clear" w:color="auto" w:fill="auto"/>
          </w:tcPr>
          <w:p w14:paraId="519283DB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11, 12, 17</w:t>
            </w:r>
          </w:p>
        </w:tc>
        <w:tc>
          <w:tcPr>
            <w:tcW w:w="2977" w:type="dxa"/>
            <w:shd w:val="clear" w:color="auto" w:fill="auto"/>
          </w:tcPr>
          <w:p w14:paraId="7CD94983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4, 16, 18, 20</w:t>
            </w:r>
          </w:p>
        </w:tc>
      </w:tr>
      <w:tr w:rsidR="008671F0" w:rsidRPr="00853841" w14:paraId="67D479BF" w14:textId="77777777" w:rsidTr="00D4327E">
        <w:tc>
          <w:tcPr>
            <w:tcW w:w="992" w:type="dxa"/>
            <w:shd w:val="clear" w:color="auto" w:fill="auto"/>
          </w:tcPr>
          <w:p w14:paraId="36AA48A6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5156</w:t>
            </w:r>
          </w:p>
        </w:tc>
        <w:tc>
          <w:tcPr>
            <w:tcW w:w="3969" w:type="dxa"/>
            <w:shd w:val="clear" w:color="auto" w:fill="auto"/>
          </w:tcPr>
          <w:p w14:paraId="3DB1DABA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6B20E3EA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</w:t>
            </w:r>
          </w:p>
        </w:tc>
      </w:tr>
      <w:tr w:rsidR="008671F0" w:rsidRPr="00853841" w14:paraId="20BB7EFA" w14:textId="77777777" w:rsidTr="00D4327E">
        <w:tc>
          <w:tcPr>
            <w:tcW w:w="992" w:type="dxa"/>
            <w:shd w:val="clear" w:color="auto" w:fill="auto"/>
          </w:tcPr>
          <w:p w14:paraId="5D4F8A66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5157</w:t>
            </w:r>
          </w:p>
        </w:tc>
        <w:tc>
          <w:tcPr>
            <w:tcW w:w="3969" w:type="dxa"/>
            <w:shd w:val="clear" w:color="auto" w:fill="auto"/>
          </w:tcPr>
          <w:p w14:paraId="4F7D481D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12-1, 18-14</w:t>
            </w:r>
          </w:p>
        </w:tc>
        <w:tc>
          <w:tcPr>
            <w:tcW w:w="2977" w:type="dxa"/>
            <w:shd w:val="clear" w:color="auto" w:fill="auto"/>
          </w:tcPr>
          <w:p w14:paraId="1444714E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</w:t>
            </w:r>
          </w:p>
        </w:tc>
      </w:tr>
      <w:tr w:rsidR="008671F0" w:rsidRPr="00853841" w14:paraId="2A7E1941" w14:textId="77777777" w:rsidTr="00D4327E">
        <w:tc>
          <w:tcPr>
            <w:tcW w:w="992" w:type="dxa"/>
            <w:shd w:val="clear" w:color="auto" w:fill="auto"/>
          </w:tcPr>
          <w:p w14:paraId="5402F4CA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5158</w:t>
            </w:r>
          </w:p>
        </w:tc>
        <w:tc>
          <w:tcPr>
            <w:tcW w:w="3969" w:type="dxa"/>
            <w:shd w:val="clear" w:color="auto" w:fill="auto"/>
          </w:tcPr>
          <w:p w14:paraId="1075DD86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4-1, 7, 11-9, 13</w:t>
            </w:r>
          </w:p>
        </w:tc>
        <w:tc>
          <w:tcPr>
            <w:tcW w:w="2977" w:type="dxa"/>
            <w:shd w:val="clear" w:color="auto" w:fill="auto"/>
          </w:tcPr>
          <w:p w14:paraId="14C025FD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5, 8, 12</w:t>
            </w:r>
          </w:p>
        </w:tc>
      </w:tr>
      <w:tr w:rsidR="008671F0" w:rsidRPr="00853841" w14:paraId="1001DF08" w14:textId="77777777" w:rsidTr="00D4327E">
        <w:tc>
          <w:tcPr>
            <w:tcW w:w="992" w:type="dxa"/>
            <w:shd w:val="clear" w:color="auto" w:fill="auto"/>
          </w:tcPr>
          <w:p w14:paraId="429B8AE2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5291</w:t>
            </w:r>
          </w:p>
        </w:tc>
        <w:tc>
          <w:tcPr>
            <w:tcW w:w="3969" w:type="dxa"/>
            <w:shd w:val="clear" w:color="auto" w:fill="auto"/>
          </w:tcPr>
          <w:p w14:paraId="642BE9C0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03B348F0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</w:t>
            </w:r>
          </w:p>
        </w:tc>
      </w:tr>
      <w:tr w:rsidR="008671F0" w:rsidRPr="00853841" w14:paraId="4D7E815F" w14:textId="77777777" w:rsidTr="00D4327E">
        <w:tc>
          <w:tcPr>
            <w:tcW w:w="992" w:type="dxa"/>
            <w:shd w:val="clear" w:color="auto" w:fill="auto"/>
          </w:tcPr>
          <w:p w14:paraId="32D5E018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5731</w:t>
            </w:r>
          </w:p>
        </w:tc>
        <w:tc>
          <w:tcPr>
            <w:tcW w:w="3969" w:type="dxa"/>
            <w:shd w:val="clear" w:color="auto" w:fill="auto"/>
          </w:tcPr>
          <w:p w14:paraId="5202B64F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10-1, 24-16</w:t>
            </w:r>
          </w:p>
        </w:tc>
        <w:tc>
          <w:tcPr>
            <w:tcW w:w="2977" w:type="dxa"/>
            <w:shd w:val="clear" w:color="auto" w:fill="auto"/>
          </w:tcPr>
          <w:p w14:paraId="4D18DA60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15-11</w:t>
            </w:r>
          </w:p>
        </w:tc>
      </w:tr>
      <w:tr w:rsidR="008671F0" w:rsidRPr="00853841" w14:paraId="0FE9CE0F" w14:textId="77777777" w:rsidTr="00D4327E">
        <w:tc>
          <w:tcPr>
            <w:tcW w:w="992" w:type="dxa"/>
            <w:shd w:val="clear" w:color="auto" w:fill="auto"/>
          </w:tcPr>
          <w:p w14:paraId="0935F3F4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5977</w:t>
            </w:r>
          </w:p>
        </w:tc>
        <w:tc>
          <w:tcPr>
            <w:tcW w:w="3969" w:type="dxa"/>
            <w:shd w:val="clear" w:color="auto" w:fill="auto"/>
          </w:tcPr>
          <w:p w14:paraId="75DC9454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1, 14</w:t>
            </w:r>
          </w:p>
        </w:tc>
        <w:tc>
          <w:tcPr>
            <w:tcW w:w="2977" w:type="dxa"/>
            <w:shd w:val="clear" w:color="auto" w:fill="auto"/>
          </w:tcPr>
          <w:p w14:paraId="2A335FAA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8671F0" w:rsidRPr="00853841" w14:paraId="379428B1" w14:textId="77777777" w:rsidTr="00D4327E">
        <w:tc>
          <w:tcPr>
            <w:tcW w:w="992" w:type="dxa"/>
            <w:shd w:val="clear" w:color="auto" w:fill="auto"/>
          </w:tcPr>
          <w:p w14:paraId="1792CC00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5999</w:t>
            </w:r>
          </w:p>
        </w:tc>
        <w:tc>
          <w:tcPr>
            <w:tcW w:w="3969" w:type="dxa"/>
            <w:shd w:val="clear" w:color="auto" w:fill="auto"/>
          </w:tcPr>
          <w:p w14:paraId="75A8D877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10-1, 20-16</w:t>
            </w:r>
          </w:p>
        </w:tc>
        <w:tc>
          <w:tcPr>
            <w:tcW w:w="2977" w:type="dxa"/>
            <w:shd w:val="clear" w:color="auto" w:fill="auto"/>
          </w:tcPr>
          <w:p w14:paraId="69853D79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15-11</w:t>
            </w:r>
          </w:p>
        </w:tc>
      </w:tr>
      <w:tr w:rsidR="008671F0" w:rsidRPr="00853841" w14:paraId="13402C6F" w14:textId="77777777" w:rsidTr="00D4327E">
        <w:tc>
          <w:tcPr>
            <w:tcW w:w="992" w:type="dxa"/>
            <w:shd w:val="clear" w:color="auto" w:fill="auto"/>
          </w:tcPr>
          <w:p w14:paraId="49E9F10E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6000</w:t>
            </w:r>
          </w:p>
        </w:tc>
        <w:tc>
          <w:tcPr>
            <w:tcW w:w="3969" w:type="dxa"/>
            <w:shd w:val="clear" w:color="auto" w:fill="auto"/>
          </w:tcPr>
          <w:p w14:paraId="2ED18F5D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3-1, 5</w:t>
            </w:r>
          </w:p>
        </w:tc>
        <w:tc>
          <w:tcPr>
            <w:tcW w:w="2977" w:type="dxa"/>
            <w:shd w:val="clear" w:color="auto" w:fill="auto"/>
          </w:tcPr>
          <w:p w14:paraId="38759E21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</w:t>
            </w:r>
          </w:p>
        </w:tc>
      </w:tr>
      <w:tr w:rsidR="008671F0" w:rsidRPr="00853841" w14:paraId="530CB635" w14:textId="77777777" w:rsidTr="00D4327E">
        <w:tc>
          <w:tcPr>
            <w:tcW w:w="992" w:type="dxa"/>
            <w:shd w:val="clear" w:color="auto" w:fill="auto"/>
          </w:tcPr>
          <w:p w14:paraId="1FF56D00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80026</w:t>
            </w:r>
          </w:p>
        </w:tc>
        <w:tc>
          <w:tcPr>
            <w:tcW w:w="3969" w:type="dxa"/>
            <w:shd w:val="clear" w:color="auto" w:fill="auto"/>
          </w:tcPr>
          <w:p w14:paraId="25636833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14:paraId="71A14624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8671F0" w:rsidRPr="00853841" w14:paraId="5B54A996" w14:textId="77777777" w:rsidTr="00D4327E">
        <w:tc>
          <w:tcPr>
            <w:tcW w:w="992" w:type="dxa"/>
            <w:shd w:val="clear" w:color="auto" w:fill="auto"/>
          </w:tcPr>
          <w:p w14:paraId="29B6F515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80025</w:t>
            </w:r>
          </w:p>
        </w:tc>
        <w:tc>
          <w:tcPr>
            <w:tcW w:w="3969" w:type="dxa"/>
            <w:shd w:val="clear" w:color="auto" w:fill="auto"/>
          </w:tcPr>
          <w:p w14:paraId="6AE4FAB2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גוש לא מוסדר</w:t>
            </w:r>
          </w:p>
        </w:tc>
        <w:tc>
          <w:tcPr>
            <w:tcW w:w="2977" w:type="dxa"/>
            <w:shd w:val="clear" w:color="auto" w:fill="auto"/>
          </w:tcPr>
          <w:p w14:paraId="6D727739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8671F0" w:rsidRPr="00853841" w14:paraId="0F98EFA5" w14:textId="77777777" w:rsidTr="00D4327E">
        <w:tc>
          <w:tcPr>
            <w:tcW w:w="992" w:type="dxa"/>
            <w:shd w:val="clear" w:color="auto" w:fill="auto"/>
          </w:tcPr>
          <w:p w14:paraId="59FABE46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80042</w:t>
            </w:r>
          </w:p>
        </w:tc>
        <w:tc>
          <w:tcPr>
            <w:tcW w:w="3969" w:type="dxa"/>
            <w:shd w:val="clear" w:color="auto" w:fill="auto"/>
          </w:tcPr>
          <w:p w14:paraId="03627B05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גוש לא מוסדר</w:t>
            </w:r>
          </w:p>
        </w:tc>
        <w:tc>
          <w:tcPr>
            <w:tcW w:w="2977" w:type="dxa"/>
            <w:shd w:val="clear" w:color="auto" w:fill="auto"/>
          </w:tcPr>
          <w:p w14:paraId="74161E65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8671F0" w:rsidRPr="00853841" w14:paraId="42DB9174" w14:textId="77777777" w:rsidTr="00D4327E">
        <w:tc>
          <w:tcPr>
            <w:tcW w:w="992" w:type="dxa"/>
            <w:shd w:val="clear" w:color="auto" w:fill="auto"/>
          </w:tcPr>
          <w:p w14:paraId="792E5698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80070</w:t>
            </w:r>
          </w:p>
        </w:tc>
        <w:tc>
          <w:tcPr>
            <w:tcW w:w="3969" w:type="dxa"/>
            <w:shd w:val="clear" w:color="auto" w:fill="auto"/>
          </w:tcPr>
          <w:p w14:paraId="01BCF444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גוש לא מוסדר</w:t>
            </w:r>
          </w:p>
        </w:tc>
        <w:tc>
          <w:tcPr>
            <w:tcW w:w="2977" w:type="dxa"/>
            <w:shd w:val="clear" w:color="auto" w:fill="auto"/>
          </w:tcPr>
          <w:p w14:paraId="48F38FAC" w14:textId="77777777" w:rsidR="008671F0" w:rsidRPr="00853841" w:rsidRDefault="008671F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</w:tbl>
    <w:p w14:paraId="7C67E30F" w14:textId="77777777" w:rsidR="00FF60BA" w:rsidRPr="003B4E86" w:rsidRDefault="00FF60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7EA113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F61BA8" w14:textId="77777777" w:rsidR="009E4C88" w:rsidRDefault="009378C5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ט"ז בטבת</w:t>
      </w:r>
      <w:r w:rsidR="00AA28C3">
        <w:rPr>
          <w:rFonts w:hint="cs"/>
          <w:rtl/>
          <w:lang w:eastAsia="en-US"/>
        </w:rPr>
        <w:t xml:space="preserve"> 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24 בדצמבר</w:t>
      </w:r>
      <w:r w:rsidR="00363C06">
        <w:rPr>
          <w:rFonts w:hint="cs"/>
          <w:rtl/>
          <w:lang w:eastAsia="en-US"/>
        </w:rPr>
        <w:t xml:space="preserve"> 201</w:t>
      </w:r>
      <w:r w:rsidR="005517F2"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3890005B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076A7482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דיור</w:t>
      </w:r>
    </w:p>
    <w:p w14:paraId="1A0463B7" w14:textId="77777777" w:rsidR="006907FF" w:rsidRDefault="006907F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57217B5" w14:textId="77777777" w:rsidR="00C06400" w:rsidRDefault="00C0640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5044561" w14:textId="77777777" w:rsidR="00C06400" w:rsidRDefault="00C0640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FE69725" w14:textId="77777777" w:rsidR="00C06400" w:rsidRDefault="00C06400" w:rsidP="00C0640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C41387E" w14:textId="77777777" w:rsidR="00BF28A0" w:rsidRPr="00C06400" w:rsidRDefault="00BF28A0" w:rsidP="00C0640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BF28A0" w:rsidRPr="00C0640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B96BB" w14:textId="77777777" w:rsidR="005F71C0" w:rsidRDefault="005F71C0">
      <w:r>
        <w:separator/>
      </w:r>
    </w:p>
  </w:endnote>
  <w:endnote w:type="continuationSeparator" w:id="0">
    <w:p w14:paraId="094ED7BC" w14:textId="77777777" w:rsidR="005F71C0" w:rsidRDefault="005F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5CAF7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188451D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3D04C25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5B875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06400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7E23432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BF95E3F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431B" w14:textId="77777777" w:rsidR="005F71C0" w:rsidRDefault="005F71C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766BF37" w14:textId="77777777" w:rsidR="005F71C0" w:rsidRDefault="005F71C0">
      <w:pPr>
        <w:spacing w:before="60" w:line="240" w:lineRule="auto"/>
        <w:ind w:right="1134"/>
      </w:pPr>
      <w:r>
        <w:separator/>
      </w:r>
    </w:p>
  </w:footnote>
  <w:footnote w:id="1">
    <w:p w14:paraId="1CFA5C49" w14:textId="77777777" w:rsidR="00AF749F" w:rsidRDefault="00721859" w:rsidP="00AF749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AF749F">
          <w:rPr>
            <w:rStyle w:val="Hyperlink"/>
            <w:rFonts w:hint="cs"/>
            <w:sz w:val="20"/>
            <w:rtl/>
            <w:lang w:eastAsia="en-US"/>
          </w:rPr>
          <w:t>ק"ת</w:t>
        </w:r>
        <w:r w:rsidRPr="00AF749F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AF749F">
          <w:rPr>
            <w:rStyle w:val="Hyperlink"/>
            <w:rFonts w:hint="cs"/>
            <w:sz w:val="20"/>
            <w:rtl/>
            <w:lang w:eastAsia="en-US"/>
          </w:rPr>
          <w:t>ט</w:t>
        </w:r>
        <w:r w:rsidRPr="00AF749F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3475FC" w:rsidRPr="00AF749F">
          <w:rPr>
            <w:rStyle w:val="Hyperlink"/>
            <w:rFonts w:hint="cs"/>
            <w:sz w:val="20"/>
            <w:rtl/>
            <w:lang w:eastAsia="en-US"/>
          </w:rPr>
          <w:t>8141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3475FC">
        <w:rPr>
          <w:rFonts w:hint="cs"/>
          <w:sz w:val="20"/>
          <w:rtl/>
          <w:lang w:eastAsia="en-US"/>
        </w:rPr>
        <w:t>2.1.2019</w:t>
      </w:r>
      <w:r>
        <w:rPr>
          <w:rFonts w:hint="cs"/>
          <w:sz w:val="20"/>
          <w:rtl/>
          <w:lang w:eastAsia="en-US"/>
        </w:rPr>
        <w:t xml:space="preserve"> עמ' </w:t>
      </w:r>
      <w:r w:rsidR="003475FC">
        <w:rPr>
          <w:rFonts w:hint="cs"/>
          <w:sz w:val="20"/>
          <w:rtl/>
          <w:lang w:eastAsia="en-US"/>
        </w:rPr>
        <w:t>172</w:t>
      </w:r>
      <w:r w:rsidR="00FF60BA">
        <w:rPr>
          <w:rFonts w:hint="cs"/>
          <w:sz w:val="20"/>
          <w:rtl/>
          <w:lang w:eastAsia="en-US"/>
        </w:rPr>
        <w:t>6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5C7C8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16EE46C9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E1E3BB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97A97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FF60BA">
      <w:rPr>
        <w:rFonts w:hint="cs"/>
        <w:color w:val="000000"/>
        <w:sz w:val="28"/>
        <w:szCs w:val="28"/>
        <w:rtl/>
        <w:lang w:eastAsia="en-US"/>
      </w:rPr>
      <w:t>לוד–העיר העתיקה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14:paraId="48C0A92E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22717A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52715"/>
    <w:rsid w:val="00067645"/>
    <w:rsid w:val="000A3B6C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3974"/>
    <w:rsid w:val="001C7939"/>
    <w:rsid w:val="001F482F"/>
    <w:rsid w:val="002002A2"/>
    <w:rsid w:val="002069BD"/>
    <w:rsid w:val="00215A95"/>
    <w:rsid w:val="00216508"/>
    <w:rsid w:val="00221B98"/>
    <w:rsid w:val="00256BE2"/>
    <w:rsid w:val="00272590"/>
    <w:rsid w:val="00277B3C"/>
    <w:rsid w:val="002826E1"/>
    <w:rsid w:val="002828EA"/>
    <w:rsid w:val="00282B37"/>
    <w:rsid w:val="002C3444"/>
    <w:rsid w:val="002E3CC9"/>
    <w:rsid w:val="002F0484"/>
    <w:rsid w:val="00310C69"/>
    <w:rsid w:val="003329CA"/>
    <w:rsid w:val="00341304"/>
    <w:rsid w:val="00343EC2"/>
    <w:rsid w:val="003475FC"/>
    <w:rsid w:val="00354225"/>
    <w:rsid w:val="00363C06"/>
    <w:rsid w:val="00397336"/>
    <w:rsid w:val="003B2DBB"/>
    <w:rsid w:val="003B4E86"/>
    <w:rsid w:val="003C0CB7"/>
    <w:rsid w:val="003C191E"/>
    <w:rsid w:val="003C687F"/>
    <w:rsid w:val="003D3B9E"/>
    <w:rsid w:val="003D5DBA"/>
    <w:rsid w:val="0042538A"/>
    <w:rsid w:val="00445A7F"/>
    <w:rsid w:val="00454ED9"/>
    <w:rsid w:val="004564C4"/>
    <w:rsid w:val="004645F4"/>
    <w:rsid w:val="0046746E"/>
    <w:rsid w:val="00492AA9"/>
    <w:rsid w:val="004C6209"/>
    <w:rsid w:val="004D38FF"/>
    <w:rsid w:val="004F0779"/>
    <w:rsid w:val="004F1517"/>
    <w:rsid w:val="00500070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90C6B"/>
    <w:rsid w:val="005B6C00"/>
    <w:rsid w:val="005C4A85"/>
    <w:rsid w:val="005C7C2B"/>
    <w:rsid w:val="005E2920"/>
    <w:rsid w:val="005E6E03"/>
    <w:rsid w:val="005F3F10"/>
    <w:rsid w:val="005F71C0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907FF"/>
    <w:rsid w:val="006A5970"/>
    <w:rsid w:val="006A7C1F"/>
    <w:rsid w:val="006C10FE"/>
    <w:rsid w:val="006F186E"/>
    <w:rsid w:val="00704CA6"/>
    <w:rsid w:val="00715C84"/>
    <w:rsid w:val="00721859"/>
    <w:rsid w:val="00737530"/>
    <w:rsid w:val="00746EA7"/>
    <w:rsid w:val="00761F48"/>
    <w:rsid w:val="00762FF0"/>
    <w:rsid w:val="00791422"/>
    <w:rsid w:val="0079289F"/>
    <w:rsid w:val="00792DED"/>
    <w:rsid w:val="00794706"/>
    <w:rsid w:val="007A2C18"/>
    <w:rsid w:val="007B4EC7"/>
    <w:rsid w:val="007E3B76"/>
    <w:rsid w:val="007E620A"/>
    <w:rsid w:val="007E6E46"/>
    <w:rsid w:val="008023DF"/>
    <w:rsid w:val="00813237"/>
    <w:rsid w:val="008172AA"/>
    <w:rsid w:val="008416B4"/>
    <w:rsid w:val="00853841"/>
    <w:rsid w:val="00860AA4"/>
    <w:rsid w:val="008671F0"/>
    <w:rsid w:val="008838B2"/>
    <w:rsid w:val="00895048"/>
    <w:rsid w:val="008B61AF"/>
    <w:rsid w:val="008D59B4"/>
    <w:rsid w:val="00903B57"/>
    <w:rsid w:val="00912A16"/>
    <w:rsid w:val="009341A5"/>
    <w:rsid w:val="009374AA"/>
    <w:rsid w:val="009378C5"/>
    <w:rsid w:val="00950EB0"/>
    <w:rsid w:val="009539B9"/>
    <w:rsid w:val="00956F34"/>
    <w:rsid w:val="00986F1C"/>
    <w:rsid w:val="009922BA"/>
    <w:rsid w:val="00992DB7"/>
    <w:rsid w:val="009C6621"/>
    <w:rsid w:val="009E4C88"/>
    <w:rsid w:val="009F1EEA"/>
    <w:rsid w:val="00A21B4B"/>
    <w:rsid w:val="00A26209"/>
    <w:rsid w:val="00A40FD6"/>
    <w:rsid w:val="00A52F1E"/>
    <w:rsid w:val="00A72E4D"/>
    <w:rsid w:val="00A97B1C"/>
    <w:rsid w:val="00AA28C3"/>
    <w:rsid w:val="00AA7B87"/>
    <w:rsid w:val="00AE5D1F"/>
    <w:rsid w:val="00AF140A"/>
    <w:rsid w:val="00AF749F"/>
    <w:rsid w:val="00AF7AB1"/>
    <w:rsid w:val="00B00EF1"/>
    <w:rsid w:val="00B073F9"/>
    <w:rsid w:val="00B2294E"/>
    <w:rsid w:val="00B75D04"/>
    <w:rsid w:val="00B85773"/>
    <w:rsid w:val="00B9242E"/>
    <w:rsid w:val="00B93960"/>
    <w:rsid w:val="00BB29E7"/>
    <w:rsid w:val="00BD4410"/>
    <w:rsid w:val="00BF28A0"/>
    <w:rsid w:val="00BF6D3E"/>
    <w:rsid w:val="00C02D96"/>
    <w:rsid w:val="00C054F7"/>
    <w:rsid w:val="00C06400"/>
    <w:rsid w:val="00C20F11"/>
    <w:rsid w:val="00C22C18"/>
    <w:rsid w:val="00C23AA1"/>
    <w:rsid w:val="00C53C34"/>
    <w:rsid w:val="00CB43A9"/>
    <w:rsid w:val="00CB7A00"/>
    <w:rsid w:val="00CE698D"/>
    <w:rsid w:val="00D4327E"/>
    <w:rsid w:val="00D6309D"/>
    <w:rsid w:val="00D6599B"/>
    <w:rsid w:val="00D67C1D"/>
    <w:rsid w:val="00D80050"/>
    <w:rsid w:val="00DA1CF6"/>
    <w:rsid w:val="00DB296E"/>
    <w:rsid w:val="00DC67F6"/>
    <w:rsid w:val="00DD4397"/>
    <w:rsid w:val="00E01CF5"/>
    <w:rsid w:val="00E15A0D"/>
    <w:rsid w:val="00E17771"/>
    <w:rsid w:val="00E243A1"/>
    <w:rsid w:val="00E407B2"/>
    <w:rsid w:val="00E85CAB"/>
    <w:rsid w:val="00E86BE8"/>
    <w:rsid w:val="00EA7AC2"/>
    <w:rsid w:val="00EF4ACA"/>
    <w:rsid w:val="00EF713E"/>
    <w:rsid w:val="00F00574"/>
    <w:rsid w:val="00F130DF"/>
    <w:rsid w:val="00F25414"/>
    <w:rsid w:val="00F63D99"/>
    <w:rsid w:val="00F74A43"/>
    <w:rsid w:val="00F9483A"/>
    <w:rsid w:val="00F9732F"/>
    <w:rsid w:val="00FD5A1E"/>
    <w:rsid w:val="00FE257E"/>
    <w:rsid w:val="00FE44F8"/>
    <w:rsid w:val="00FF1039"/>
    <w:rsid w:val="00FF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EE74E1B"/>
  <w15:chartTrackingRefBased/>
  <w15:docId w15:val="{F7015E3F-D179-4FDC-957F-8E0948B0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2060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לוד–העיר העתיקה), תשע"ט-2019</vt:lpwstr>
  </property>
  <property fmtid="{D5CDD505-2E9C-101B-9397-08002B2CF9AE}" pid="5" name="LAWNUMBER">
    <vt:lpwstr>0034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http://www.nevo.co.il/Law_word/law06/TAK-8141.pdf;‎רשומות - תקנות כלליות#פורסם ק"ת תשע"ט ‏מס' 8141 #מיום 2.1.2019 עמ' 1726‏</vt:lpwstr>
  </property>
</Properties>
</file>