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7129B2">
        <w:rPr>
          <w:rFonts w:hint="cs"/>
          <w:rtl/>
          <w:lang w:eastAsia="en-US"/>
        </w:rPr>
        <w:t xml:space="preserve">נתיבות </w:t>
      </w:r>
      <w:r w:rsidR="007129B2">
        <w:rPr>
          <w:rtl/>
          <w:lang w:eastAsia="en-US"/>
        </w:rPr>
        <w:t>–</w:t>
      </w:r>
      <w:r w:rsidR="007129B2">
        <w:rPr>
          <w:rFonts w:hint="cs"/>
          <w:rtl/>
          <w:lang w:eastAsia="en-US"/>
        </w:rPr>
        <w:t xml:space="preserve"> כניסה צפון מזרחית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62F26" w:rsidRPr="00962F26" w:rsidTr="00962F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96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62F26" w:rsidRPr="00962F26" w:rsidTr="00962F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96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962F26" w:rsidRPr="00962F26" w:rsidTr="00962F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962F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62F26" w:rsidRPr="00962F26" w:rsidRDefault="00962F26" w:rsidP="00962F2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7129B2">
        <w:rPr>
          <w:rFonts w:hint="cs"/>
          <w:rtl/>
          <w:lang w:eastAsia="en-US"/>
        </w:rPr>
        <w:t xml:space="preserve">נתיבות </w:t>
      </w:r>
      <w:r w:rsidR="007129B2">
        <w:rPr>
          <w:rtl/>
          <w:lang w:eastAsia="en-US"/>
        </w:rPr>
        <w:t>–</w:t>
      </w:r>
      <w:r w:rsidR="007129B2">
        <w:rPr>
          <w:rFonts w:hint="cs"/>
          <w:rtl/>
          <w:lang w:eastAsia="en-US"/>
        </w:rPr>
        <w:t xml:space="preserve"> כניסה צפון מזרחית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757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7129B2">
        <w:rPr>
          <w:rStyle w:val="default"/>
          <w:rFonts w:cs="FrankRuehl" w:hint="cs"/>
          <w:rtl/>
        </w:rPr>
        <w:t xml:space="preserve">נתיבות </w:t>
      </w:r>
      <w:r w:rsidR="007129B2">
        <w:rPr>
          <w:rStyle w:val="default"/>
          <w:rFonts w:cs="FrankRuehl"/>
          <w:rtl/>
        </w:rPr>
        <w:t>–</w:t>
      </w:r>
      <w:r w:rsidR="007129B2">
        <w:rPr>
          <w:rStyle w:val="default"/>
          <w:rFonts w:cs="FrankRuehl" w:hint="cs"/>
          <w:rtl/>
        </w:rPr>
        <w:t xml:space="preserve"> כניסה צפון מזרחית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7129B2">
        <w:rPr>
          <w:rStyle w:val="default"/>
          <w:rFonts w:cs="FrankRuehl" w:hint="cs"/>
          <w:rtl/>
          <w:lang w:eastAsia="en-US"/>
        </w:rPr>
        <w:t>340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E92D69">
        <w:rPr>
          <w:rStyle w:val="default"/>
          <w:rFonts w:cs="FrankRuehl" w:hint="cs"/>
          <w:rtl/>
          <w:lang w:eastAsia="en-US"/>
        </w:rPr>
        <w:t>הדרום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013491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7129B2">
        <w:rPr>
          <w:rStyle w:val="default"/>
          <w:rFonts w:cs="FrankRuehl" w:hint="cs"/>
          <w:rtl/>
          <w:lang w:eastAsia="en-US"/>
        </w:rPr>
        <w:t>נתיבות, ממזרח לכביש 25, ממערב לרחובות סמילו יוסף והבונים, מצפון לרחוב הרב חלפון הכהן ומדרום לרחוב בעלי המלאכה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E92D69">
        <w:rPr>
          <w:rStyle w:val="default"/>
          <w:rFonts w:cs="FrankRuehl" w:hint="cs"/>
          <w:rtl/>
          <w:lang w:eastAsia="en-US"/>
        </w:rPr>
        <w:t>הדרום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FA7B13" w:rsidP="00A7571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9" type="#_x0000_t202" style="position:absolute;left:0;text-align:left;margin-left:470.25pt;margin-top:6.55pt;width:1in;height:18.75pt;z-index:251658752" filled="f" stroked="f">
            <v:textbox inset="1mm,0,1mm,0">
              <w:txbxContent>
                <w:p w:rsidR="00A7571A" w:rsidRDefault="00A7571A" w:rsidP="00A7571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4962"/>
        <w:gridCol w:w="2162"/>
      </w:tblGrid>
      <w:tr w:rsidR="007129B2" w:rsidRPr="00853841" w:rsidTr="006E767C"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6E767C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6E767C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39573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38, 54, 55, 72, 92, 111, 127, 132-129, 140, 147, 149, 153, 188, 193-191, 195, 197, 199, 200</w:t>
            </w:r>
          </w:p>
        </w:tc>
        <w:tc>
          <w:tcPr>
            <w:tcW w:w="0" w:type="auto"/>
            <w:shd w:val="clear" w:color="auto" w:fill="auto"/>
          </w:tcPr>
          <w:p w:rsidR="006E767C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64, 98, 110-107, 125, 181, 194, 196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39576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5-1, 9-7, 38-11, 42-40, 44, 45, 50-47, 52, 60-57, 68-62, 79, 82, 83, 85, 86, 89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53, 56, 61, 71-69, 78, 88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39578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33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25, 38, 44, 55, 58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39583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1, 2, 4, 43, 44, 59, 60, 66, 77, 78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39584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4-1, 7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39630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39891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39892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39893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39996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39999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100276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8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100342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  <w:tr w:rsidR="007129B2" w:rsidRPr="00853841" w:rsidTr="006E767C"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100343</w:t>
            </w: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0" w:type="auto"/>
            <w:shd w:val="clear" w:color="auto" w:fill="auto"/>
          </w:tcPr>
          <w:p w:rsidR="007129B2" w:rsidRPr="00853841" w:rsidRDefault="007129B2" w:rsidP="007129B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</w:t>
            </w:r>
          </w:p>
        </w:tc>
      </w:tr>
    </w:tbl>
    <w:p w:rsidR="007129B2" w:rsidRPr="003B4E86" w:rsidRDefault="007129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62F26" w:rsidRDefault="00962F2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62F26" w:rsidRDefault="00962F2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62F26" w:rsidRDefault="00962F26" w:rsidP="00962F2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421D7" w:rsidRPr="00962F26" w:rsidRDefault="008421D7" w:rsidP="00962F2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962F2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1A3" w:rsidRDefault="007831A3">
      <w:r>
        <w:separator/>
      </w:r>
    </w:p>
  </w:endnote>
  <w:endnote w:type="continuationSeparator" w:id="0">
    <w:p w:rsidR="007831A3" w:rsidRDefault="00783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62F2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1A3" w:rsidRDefault="007831A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831A3" w:rsidRDefault="007831A3">
      <w:pPr>
        <w:spacing w:before="60" w:line="240" w:lineRule="auto"/>
        <w:ind w:right="1134"/>
      </w:pPr>
      <w:r>
        <w:separator/>
      </w:r>
    </w:p>
  </w:footnote>
  <w:footnote w:id="1">
    <w:p w:rsidR="001E3733" w:rsidRDefault="00721859" w:rsidP="001E37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1E3733">
          <w:rPr>
            <w:rStyle w:val="Hyperlink"/>
            <w:rFonts w:hint="cs"/>
            <w:sz w:val="20"/>
            <w:rtl/>
            <w:lang w:eastAsia="en-US"/>
          </w:rPr>
          <w:t>ק"ת</w:t>
        </w:r>
        <w:r w:rsidRPr="001E3733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1E3733">
          <w:rPr>
            <w:rStyle w:val="Hyperlink"/>
            <w:rFonts w:hint="cs"/>
            <w:sz w:val="20"/>
            <w:rtl/>
            <w:lang w:eastAsia="en-US"/>
          </w:rPr>
          <w:t>"ף</w:t>
        </w:r>
        <w:r w:rsidRPr="001E3733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1E3733">
          <w:rPr>
            <w:rStyle w:val="Hyperlink"/>
            <w:rFonts w:hint="cs"/>
            <w:sz w:val="20"/>
            <w:rtl/>
            <w:lang w:eastAsia="en-US"/>
          </w:rPr>
          <w:t>83</w:t>
        </w:r>
        <w:r w:rsidR="0015109A" w:rsidRPr="001E3733">
          <w:rPr>
            <w:rStyle w:val="Hyperlink"/>
            <w:rFonts w:hint="cs"/>
            <w:sz w:val="20"/>
            <w:rtl/>
            <w:lang w:eastAsia="en-US"/>
          </w:rPr>
          <w:t>50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</w:t>
      </w:r>
      <w:r w:rsidR="0015109A">
        <w:rPr>
          <w:rFonts w:hint="cs"/>
          <w:sz w:val="20"/>
          <w:rtl/>
          <w:lang w:eastAsia="en-US"/>
        </w:rPr>
        <w:t>2</w:t>
      </w:r>
      <w:r w:rsidR="00FA7B13">
        <w:rPr>
          <w:rFonts w:hint="cs"/>
          <w:sz w:val="20"/>
          <w:rtl/>
          <w:lang w:eastAsia="en-US"/>
        </w:rPr>
        <w:t>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15109A">
        <w:rPr>
          <w:rFonts w:hint="cs"/>
          <w:sz w:val="20"/>
          <w:rtl/>
          <w:lang w:eastAsia="en-US"/>
        </w:rPr>
        <w:t>61</w:t>
      </w:r>
      <w:r w:rsidR="00E92D69">
        <w:rPr>
          <w:rFonts w:hint="cs"/>
          <w:sz w:val="20"/>
          <w:rtl/>
          <w:lang w:eastAsia="en-US"/>
        </w:rPr>
        <w:t>5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7129B2">
      <w:rPr>
        <w:rFonts w:hint="cs"/>
        <w:color w:val="000000"/>
        <w:sz w:val="28"/>
        <w:szCs w:val="28"/>
        <w:rtl/>
        <w:lang w:eastAsia="en-US"/>
      </w:rPr>
      <w:t xml:space="preserve">נתיבות </w:t>
    </w:r>
    <w:r w:rsidR="007129B2">
      <w:rPr>
        <w:color w:val="000000"/>
        <w:sz w:val="28"/>
        <w:szCs w:val="28"/>
        <w:rtl/>
        <w:lang w:eastAsia="en-US"/>
      </w:rPr>
      <w:t>–</w:t>
    </w:r>
    <w:r w:rsidR="007129B2">
      <w:rPr>
        <w:rFonts w:hint="cs"/>
        <w:color w:val="000000"/>
        <w:sz w:val="28"/>
        <w:szCs w:val="28"/>
        <w:rtl/>
        <w:lang w:eastAsia="en-US"/>
      </w:rPr>
      <w:t xml:space="preserve"> כניסה צפון מזרחית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3491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5109A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E3733"/>
    <w:rsid w:val="001F1525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72B1C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70901"/>
    <w:rsid w:val="00494774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87A18"/>
    <w:rsid w:val="005B6C00"/>
    <w:rsid w:val="005C4A85"/>
    <w:rsid w:val="005D5568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978CE"/>
    <w:rsid w:val="006A5970"/>
    <w:rsid w:val="006A7C1F"/>
    <w:rsid w:val="006B02D6"/>
    <w:rsid w:val="006C10FE"/>
    <w:rsid w:val="006D450C"/>
    <w:rsid w:val="006D5B59"/>
    <w:rsid w:val="006E767C"/>
    <w:rsid w:val="006F186E"/>
    <w:rsid w:val="00700A8C"/>
    <w:rsid w:val="00704CA6"/>
    <w:rsid w:val="007129B2"/>
    <w:rsid w:val="00715C84"/>
    <w:rsid w:val="0071726D"/>
    <w:rsid w:val="00721859"/>
    <w:rsid w:val="00737530"/>
    <w:rsid w:val="00746EA7"/>
    <w:rsid w:val="00761F48"/>
    <w:rsid w:val="00762FF0"/>
    <w:rsid w:val="007831A3"/>
    <w:rsid w:val="0079289F"/>
    <w:rsid w:val="00792DED"/>
    <w:rsid w:val="0079385B"/>
    <w:rsid w:val="007B4EC7"/>
    <w:rsid w:val="007B594F"/>
    <w:rsid w:val="007E3B76"/>
    <w:rsid w:val="007E620A"/>
    <w:rsid w:val="007E6E46"/>
    <w:rsid w:val="008023DF"/>
    <w:rsid w:val="00813237"/>
    <w:rsid w:val="008172AA"/>
    <w:rsid w:val="00821BAD"/>
    <w:rsid w:val="008421D7"/>
    <w:rsid w:val="00845C5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62F26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1EEA"/>
    <w:rsid w:val="00A21B4B"/>
    <w:rsid w:val="00A26209"/>
    <w:rsid w:val="00A40FD6"/>
    <w:rsid w:val="00A41905"/>
    <w:rsid w:val="00A42EF8"/>
    <w:rsid w:val="00A52F1E"/>
    <w:rsid w:val="00A72E4D"/>
    <w:rsid w:val="00A7571A"/>
    <w:rsid w:val="00A92A59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10251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2201"/>
    <w:rsid w:val="00D6309D"/>
    <w:rsid w:val="00D6599B"/>
    <w:rsid w:val="00D67C1D"/>
    <w:rsid w:val="00D81497"/>
    <w:rsid w:val="00D95BF5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53272"/>
    <w:rsid w:val="00E759D5"/>
    <w:rsid w:val="00E844B8"/>
    <w:rsid w:val="00E85CAB"/>
    <w:rsid w:val="00E92D69"/>
    <w:rsid w:val="00E9367C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468"/>
    <w:rsid w:val="00F9483A"/>
    <w:rsid w:val="00F9732F"/>
    <w:rsid w:val="00FA5547"/>
    <w:rsid w:val="00FA6909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03140DF-0C36-4F33-8542-EB23A28F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2092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נתיבות – כניסה צפון מזרחית), תש"ף-2020</vt:lpwstr>
  </property>
  <property fmtid="{D5CDD505-2E9C-101B-9397-08002B2CF9AE}" pid="5" name="LAWNUMBER">
    <vt:lpwstr>0241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http://www.nevo.co.il/Law_word/law06/tak-8350.pdf‏;רשומות - תקנות כלליות#פורסם ק"ת תש"ף מס' ‏‏8350 #מיום 12.2.2020 עמ' 615‏</vt:lpwstr>
  </property>
</Properties>
</file>