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E52964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E52964">
        <w:rPr>
          <w:rFonts w:hint="cs"/>
          <w:rtl/>
          <w:lang w:eastAsia="en-US"/>
        </w:rPr>
        <w:t xml:space="preserve">שוהם </w:t>
      </w:r>
      <w:r w:rsidR="00E52964">
        <w:rPr>
          <w:rtl/>
          <w:lang w:eastAsia="en-US"/>
        </w:rPr>
        <w:t>–</w:t>
      </w:r>
      <w:r w:rsidR="00E52964">
        <w:rPr>
          <w:rFonts w:hint="cs"/>
          <w:rtl/>
          <w:lang w:eastAsia="en-US"/>
        </w:rPr>
        <w:t xml:space="preserve"> שכונה כ"א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>
        <w:rPr>
          <w:rFonts w:hint="cs"/>
          <w:rtl/>
          <w:lang w:eastAsia="en-US"/>
        </w:rPr>
        <w:t>ה</w:t>
      </w:r>
      <w:r w:rsidR="006522AB">
        <w:rPr>
          <w:rFonts w:hint="cs"/>
          <w:rtl/>
          <w:lang w:eastAsia="en-US"/>
        </w:rPr>
        <w:t>-2015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5548F" w:rsidRPr="0055548F" w:rsidTr="005554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548F" w:rsidRPr="0055548F" w:rsidRDefault="0055548F" w:rsidP="0055548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55548F" w:rsidRPr="0055548F" w:rsidRDefault="0055548F" w:rsidP="0055548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הכרזה על מתחם מועדף לדיור</w:t>
            </w:r>
          </w:p>
        </w:tc>
        <w:tc>
          <w:tcPr>
            <w:tcW w:w="567" w:type="dxa"/>
          </w:tcPr>
          <w:p w:rsidR="0055548F" w:rsidRPr="0055548F" w:rsidRDefault="0055548F" w:rsidP="0055548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כרזה על מתחם מועדף לדיור" w:history="1">
              <w:r w:rsidRPr="005554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548F" w:rsidRPr="0055548F" w:rsidRDefault="0055548F" w:rsidP="0055548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5548F" w:rsidRPr="0055548F" w:rsidTr="005554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548F" w:rsidRPr="0055548F" w:rsidRDefault="0055548F" w:rsidP="0055548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55548F" w:rsidRPr="0055548F" w:rsidRDefault="0055548F" w:rsidP="0055548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55548F" w:rsidRPr="0055548F" w:rsidRDefault="0055548F" w:rsidP="0055548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5554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548F" w:rsidRPr="0055548F" w:rsidRDefault="0055548F" w:rsidP="0055548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5548F" w:rsidRPr="0055548F" w:rsidTr="005554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548F" w:rsidRPr="0055548F" w:rsidRDefault="0055548F" w:rsidP="0055548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55548F" w:rsidRPr="0055548F" w:rsidRDefault="0055548F" w:rsidP="0055548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55548F" w:rsidRPr="0055548F" w:rsidRDefault="0055548F" w:rsidP="0055548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5554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548F" w:rsidRPr="0055548F" w:rsidRDefault="0055548F" w:rsidP="0055548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E52964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E52964">
        <w:rPr>
          <w:rFonts w:hint="cs"/>
          <w:rtl/>
          <w:lang w:eastAsia="en-US"/>
        </w:rPr>
        <w:t xml:space="preserve">שוהם </w:t>
      </w:r>
      <w:r w:rsidR="00E52964">
        <w:rPr>
          <w:rtl/>
          <w:lang w:eastAsia="en-US"/>
        </w:rPr>
        <w:t>–</w:t>
      </w:r>
      <w:r w:rsidR="00E52964">
        <w:rPr>
          <w:rFonts w:hint="cs"/>
          <w:rtl/>
          <w:lang w:eastAsia="en-US"/>
        </w:rPr>
        <w:t xml:space="preserve"> שכונה כ"א</w:t>
      </w:r>
      <w:r w:rsidR="00343EC2">
        <w:rPr>
          <w:rFonts w:hint="cs"/>
          <w:rtl/>
          <w:lang w:eastAsia="en-US"/>
        </w:rPr>
        <w:t>), תשע"ה-201</w:t>
      </w:r>
      <w:r w:rsidR="006522AB">
        <w:rPr>
          <w:rFonts w:hint="cs"/>
          <w:rtl/>
          <w:lang w:eastAsia="en-US"/>
        </w:rPr>
        <w:t>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343E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סעיף 3(א) לחוק לקידום הבנייה במתחמים מועדפים לדיור (הוראת שעה), התשע"ד-2014, ובהמלצת מנהל מינהל התכנון, מצווה ועדת השרים שמינתה הממשלה לעניין זה, לאמור:</w:t>
      </w:r>
    </w:p>
    <w:p w:rsidR="009E4C88" w:rsidRDefault="009E4C88" w:rsidP="00E529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4.1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הכרזה על 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E52964">
        <w:rPr>
          <w:rStyle w:val="default"/>
          <w:rFonts w:cs="FrankRuehl" w:hint="cs"/>
          <w:rtl/>
        </w:rPr>
        <w:t xml:space="preserve">שוהם </w:t>
      </w:r>
      <w:r w:rsidR="00E52964">
        <w:rPr>
          <w:rStyle w:val="default"/>
          <w:rFonts w:cs="FrankRuehl"/>
          <w:rtl/>
        </w:rPr>
        <w:t>–</w:t>
      </w:r>
      <w:r w:rsidR="00E52964">
        <w:rPr>
          <w:rStyle w:val="default"/>
          <w:rFonts w:cs="FrankRuehl" w:hint="cs"/>
          <w:rtl/>
        </w:rPr>
        <w:t xml:space="preserve"> שכונה כ"א,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E52964" w:rsidRDefault="009E4C88" w:rsidP="00E5296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גודלו של המתחם הוא כ-</w:t>
      </w:r>
      <w:r w:rsidR="00E52964">
        <w:rPr>
          <w:rStyle w:val="default"/>
          <w:rFonts w:cs="FrankRuehl" w:hint="cs"/>
          <w:rtl/>
          <w:lang w:eastAsia="en-US"/>
        </w:rPr>
        <w:t>510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E52964">
        <w:rPr>
          <w:rStyle w:val="default"/>
          <w:rFonts w:cs="FrankRuehl" w:hint="cs"/>
          <w:rtl/>
          <w:lang w:eastAsia="en-US"/>
        </w:rPr>
        <w:t xml:space="preserve">מיקומו בתחום </w:t>
      </w:r>
      <w:r w:rsidR="00343EC2">
        <w:rPr>
          <w:rStyle w:val="default"/>
          <w:rFonts w:cs="FrankRuehl" w:hint="cs"/>
          <w:rtl/>
          <w:lang w:eastAsia="en-US"/>
        </w:rPr>
        <w:t>מחוז תל אביב</w:t>
      </w:r>
      <w:r w:rsidR="006522AB">
        <w:rPr>
          <w:rStyle w:val="default"/>
          <w:rFonts w:cs="FrankRuehl" w:hint="cs"/>
          <w:rtl/>
          <w:lang w:eastAsia="en-US"/>
        </w:rPr>
        <w:t xml:space="preserve">; </w:t>
      </w:r>
      <w:r w:rsidR="00E52964">
        <w:rPr>
          <w:rStyle w:val="default"/>
          <w:rFonts w:cs="FrankRuehl" w:hint="cs"/>
          <w:rtl/>
          <w:lang w:eastAsia="en-US"/>
        </w:rPr>
        <w:t xml:space="preserve">באזור שיפוט המועצה המקומית שוהם; גבולות המתחם: מצפון </w:t>
      </w:r>
      <w:r w:rsidR="00E52964">
        <w:rPr>
          <w:rStyle w:val="default"/>
          <w:rFonts w:cs="FrankRuehl"/>
          <w:rtl/>
          <w:lang w:eastAsia="en-US"/>
        </w:rPr>
        <w:t>–</w:t>
      </w:r>
      <w:r w:rsidR="00E52964">
        <w:rPr>
          <w:rStyle w:val="default"/>
          <w:rFonts w:cs="FrankRuehl" w:hint="cs"/>
          <w:rtl/>
          <w:lang w:eastAsia="en-US"/>
        </w:rPr>
        <w:t xml:space="preserve"> נחל בית עריף, מדרום </w:t>
      </w:r>
      <w:r w:rsidR="00E52964">
        <w:rPr>
          <w:rStyle w:val="default"/>
          <w:rFonts w:cs="FrankRuehl"/>
          <w:rtl/>
          <w:lang w:eastAsia="en-US"/>
        </w:rPr>
        <w:t>–</w:t>
      </w:r>
      <w:r w:rsidR="00E52964">
        <w:rPr>
          <w:rStyle w:val="default"/>
          <w:rFonts w:cs="FrankRuehl" w:hint="cs"/>
          <w:rtl/>
          <w:lang w:eastAsia="en-US"/>
        </w:rPr>
        <w:t xml:space="preserve"> כביש 453, ממערב </w:t>
      </w:r>
      <w:r w:rsidR="00E52964">
        <w:rPr>
          <w:rStyle w:val="default"/>
          <w:rFonts w:cs="FrankRuehl"/>
          <w:rtl/>
          <w:lang w:eastAsia="en-US"/>
        </w:rPr>
        <w:t>–</w:t>
      </w:r>
      <w:r w:rsidR="00E52964">
        <w:rPr>
          <w:rStyle w:val="default"/>
          <w:rFonts w:cs="FrankRuehl" w:hint="cs"/>
          <w:rtl/>
          <w:lang w:eastAsia="en-US"/>
        </w:rPr>
        <w:t xml:space="preserve"> חר' עמק איילון, וממזרח </w:t>
      </w:r>
      <w:r w:rsidR="00E52964">
        <w:rPr>
          <w:rStyle w:val="default"/>
          <w:rFonts w:cs="FrankRuehl"/>
          <w:rtl/>
          <w:lang w:eastAsia="en-US"/>
        </w:rPr>
        <w:t>–</w:t>
      </w:r>
      <w:r w:rsidR="00E52964">
        <w:rPr>
          <w:rStyle w:val="default"/>
          <w:rFonts w:cs="FrankRuehl" w:hint="cs"/>
          <w:rtl/>
          <w:lang w:eastAsia="en-US"/>
        </w:rPr>
        <w:t xml:space="preserve"> כביש 444</w:t>
      </w:r>
      <w:r w:rsidR="00CB43A9">
        <w:rPr>
          <w:rStyle w:val="default"/>
          <w:rFonts w:cs="FrankRuehl" w:hint="cs"/>
          <w:rtl/>
          <w:lang w:eastAsia="en-US"/>
        </w:rPr>
        <w:t>;</w:t>
      </w:r>
    </w:p>
    <w:p w:rsidR="009E4C88" w:rsidRDefault="00343EC2" w:rsidP="00E5296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גבולותיו הם כמסומן במפה שהעתקים ממנה מופקדים לעיון הציבור במשרדי הוועדה למתחמים מועדפים לדיור במשרד הפנים, קריית הממשלה, רח' קפלן 2, ירושלים, במשרדי הוועדה המחוזית לתכנון ולבנייה מחוז </w:t>
      </w:r>
      <w:r w:rsidR="00E52964">
        <w:rPr>
          <w:rStyle w:val="default"/>
          <w:rFonts w:cs="FrankRuehl" w:hint="cs"/>
          <w:rtl/>
          <w:lang w:eastAsia="en-US"/>
        </w:rPr>
        <w:t>תל אביב</w:t>
      </w:r>
      <w:r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343E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המתחם כולל גושים וחלקות 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792"/>
        <w:gridCol w:w="973"/>
        <w:gridCol w:w="1530"/>
        <w:gridCol w:w="1773"/>
        <w:gridCol w:w="2870"/>
      </w:tblGrid>
      <w:tr w:rsidR="006522AB" w:rsidRPr="00343EC2">
        <w:tc>
          <w:tcPr>
            <w:tcW w:w="0" w:type="auto"/>
          </w:tcPr>
          <w:p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</w:tcPr>
          <w:p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סוג גוש</w:t>
            </w:r>
          </w:p>
        </w:tc>
        <w:tc>
          <w:tcPr>
            <w:tcW w:w="0" w:type="auto"/>
          </w:tcPr>
          <w:p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</w:tcPr>
          <w:p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</w:tcPr>
          <w:p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6522AB" w:rsidRPr="00343EC2">
        <w:tc>
          <w:tcPr>
            <w:tcW w:w="0" w:type="auto"/>
          </w:tcPr>
          <w:p w:rsidR="00343EC2" w:rsidRPr="00343EC2" w:rsidRDefault="00E52964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4129</w:t>
            </w:r>
          </w:p>
        </w:tc>
        <w:tc>
          <w:tcPr>
            <w:tcW w:w="0" w:type="auto"/>
          </w:tcPr>
          <w:p w:rsidR="00343EC2" w:rsidRPr="00343EC2" w:rsidRDefault="00E52964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:rsidR="00343EC2" w:rsidRPr="00343EC2" w:rsidRDefault="00E52964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343EC2" w:rsidRPr="00343EC2" w:rsidRDefault="00343EC2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:rsidR="00343EC2" w:rsidRPr="00343EC2" w:rsidRDefault="00E52964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101, 111, 132</w:t>
            </w:r>
          </w:p>
        </w:tc>
      </w:tr>
      <w:tr w:rsidR="00E52964" w:rsidRPr="00343EC2">
        <w:tc>
          <w:tcPr>
            <w:tcW w:w="0" w:type="auto"/>
          </w:tcPr>
          <w:p w:rsidR="00E52964" w:rsidRPr="00343EC2" w:rsidRDefault="00E52964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4964</w:t>
            </w:r>
          </w:p>
        </w:tc>
        <w:tc>
          <w:tcPr>
            <w:tcW w:w="0" w:type="auto"/>
          </w:tcPr>
          <w:p w:rsidR="00E52964" w:rsidRPr="00343EC2" w:rsidRDefault="00E52964" w:rsidP="009032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:rsidR="00E52964" w:rsidRPr="00343EC2" w:rsidRDefault="00E52964" w:rsidP="009032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52964" w:rsidRPr="00343EC2" w:rsidRDefault="00E52964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41</w:t>
            </w:r>
          </w:p>
        </w:tc>
        <w:tc>
          <w:tcPr>
            <w:tcW w:w="0" w:type="auto"/>
          </w:tcPr>
          <w:p w:rsidR="00E52964" w:rsidRPr="00343EC2" w:rsidRDefault="00E52964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16, 28, 29, 38, 42, 43, 45</w:t>
            </w:r>
          </w:p>
        </w:tc>
      </w:tr>
      <w:tr w:rsidR="00E52964" w:rsidRPr="00343EC2">
        <w:tc>
          <w:tcPr>
            <w:tcW w:w="0" w:type="auto"/>
          </w:tcPr>
          <w:p w:rsidR="00E52964" w:rsidRPr="00343EC2" w:rsidRDefault="00E52964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4965</w:t>
            </w:r>
          </w:p>
        </w:tc>
        <w:tc>
          <w:tcPr>
            <w:tcW w:w="0" w:type="auto"/>
          </w:tcPr>
          <w:p w:rsidR="00E52964" w:rsidRPr="00343EC2" w:rsidRDefault="00E52964" w:rsidP="009032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:rsidR="00E52964" w:rsidRPr="00343EC2" w:rsidRDefault="00E52964" w:rsidP="009032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52964" w:rsidRPr="00343EC2" w:rsidRDefault="00E52964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:rsidR="00E52964" w:rsidRPr="00343EC2" w:rsidRDefault="00E52964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41</w:t>
            </w:r>
          </w:p>
        </w:tc>
      </w:tr>
      <w:tr w:rsidR="00E52964" w:rsidRPr="00343EC2">
        <w:tc>
          <w:tcPr>
            <w:tcW w:w="0" w:type="auto"/>
          </w:tcPr>
          <w:p w:rsidR="00E52964" w:rsidRPr="00343EC2" w:rsidRDefault="00E52964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5909</w:t>
            </w:r>
          </w:p>
        </w:tc>
        <w:tc>
          <w:tcPr>
            <w:tcW w:w="0" w:type="auto"/>
          </w:tcPr>
          <w:p w:rsidR="00E52964" w:rsidRPr="00343EC2" w:rsidRDefault="00E52964" w:rsidP="009032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:rsidR="00E52964" w:rsidRPr="00343EC2" w:rsidRDefault="00E52964" w:rsidP="0090326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E52964" w:rsidRPr="00343EC2" w:rsidRDefault="00E52964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:rsidR="00E52964" w:rsidRPr="00343EC2" w:rsidRDefault="00E52964" w:rsidP="00E529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6-3</w:t>
            </w:r>
          </w:p>
        </w:tc>
      </w:tr>
    </w:tbl>
    <w:p w:rsidR="00E52964" w:rsidRPr="003B4E86" w:rsidRDefault="00E529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E52964" w:rsidP="00E5296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ז' בתמוז</w:t>
      </w:r>
      <w:r w:rsidR="006522AB">
        <w:rPr>
          <w:rFonts w:hint="cs"/>
          <w:rtl/>
          <w:lang w:eastAsia="en-US"/>
        </w:rPr>
        <w:t xml:space="preserve"> התשע"ה </w:t>
      </w:r>
      <w:r w:rsidR="00013272">
        <w:rPr>
          <w:rFonts w:hint="cs"/>
          <w:rtl/>
          <w:lang w:eastAsia="en-US"/>
        </w:rPr>
        <w:t>(</w:t>
      </w:r>
      <w:r>
        <w:rPr>
          <w:rFonts w:hint="cs"/>
          <w:rtl/>
          <w:lang w:eastAsia="en-US"/>
        </w:rPr>
        <w:t>24 ביוני</w:t>
      </w:r>
      <w:r w:rsidR="006522AB">
        <w:rPr>
          <w:rFonts w:hint="cs"/>
          <w:rtl/>
          <w:lang w:eastAsia="en-US"/>
        </w:rPr>
        <w:t xml:space="preserve"> 2015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משה כחלון</w:t>
      </w:r>
    </w:p>
    <w:p w:rsidR="006522AB" w:rsidRDefault="009E4C88" w:rsidP="00E5296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E52964">
        <w:rPr>
          <w:rFonts w:hint="cs"/>
          <w:sz w:val="22"/>
          <w:szCs w:val="22"/>
          <w:rtl/>
          <w:lang w:eastAsia="en-US"/>
        </w:rPr>
        <w:t>שר האוצר</w:t>
      </w:r>
    </w:p>
    <w:p w:rsidR="009E4C88" w:rsidRDefault="006522AB" w:rsidP="00E5296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E52964">
        <w:rPr>
          <w:rFonts w:hint="cs"/>
          <w:sz w:val="22"/>
          <w:szCs w:val="22"/>
          <w:rtl/>
          <w:lang w:eastAsia="en-US"/>
        </w:rPr>
        <w:t>יושב ראש ועדת השרים לענייני דיור</w:t>
      </w:r>
    </w:p>
    <w:p w:rsidR="00E52964" w:rsidRDefault="00E5296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:rsidR="00104165" w:rsidRDefault="0010416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55548F" w:rsidRDefault="0055548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55548F" w:rsidRDefault="0055548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55548F" w:rsidRDefault="0055548F" w:rsidP="0055548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17771" w:rsidRPr="0055548F" w:rsidRDefault="00E17771" w:rsidP="0055548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E17771" w:rsidRPr="0055548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00C2" w:rsidRDefault="00B900C2">
      <w:r>
        <w:separator/>
      </w:r>
    </w:p>
  </w:endnote>
  <w:endnote w:type="continuationSeparator" w:id="0">
    <w:p w:rsidR="00B900C2" w:rsidRDefault="00B9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5548F">
      <w:rPr>
        <w:rFonts w:cs="TopType Jerushalmi"/>
        <w:noProof/>
        <w:color w:val="000000"/>
        <w:sz w:val="14"/>
        <w:szCs w:val="14"/>
        <w:lang w:eastAsia="en-US"/>
      </w:rPr>
      <w:t>Z:\000-law\yael\2015\2015-07-07\tav\501_237.doc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55548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5548F">
      <w:rPr>
        <w:rFonts w:cs="TopType Jerushalmi"/>
        <w:noProof/>
        <w:color w:val="000000"/>
        <w:sz w:val="14"/>
        <w:szCs w:val="14"/>
        <w:lang w:eastAsia="en-US"/>
      </w:rPr>
      <w:t>Z:\000-law\yael\2015\2015-07-07\tav\501_237.doc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00C2" w:rsidRDefault="00B900C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900C2" w:rsidRDefault="00B900C2">
      <w:pPr>
        <w:spacing w:before="60" w:line="240" w:lineRule="auto"/>
        <w:ind w:right="1134"/>
      </w:pPr>
      <w:r>
        <w:separator/>
      </w:r>
    </w:p>
  </w:footnote>
  <w:footnote w:id="1">
    <w:p w:rsidR="0066112E" w:rsidRDefault="00721859" w:rsidP="006611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66112E">
          <w:rPr>
            <w:rStyle w:val="Hyperlink"/>
            <w:rFonts w:hint="cs"/>
            <w:sz w:val="20"/>
            <w:rtl/>
            <w:lang w:eastAsia="en-US"/>
          </w:rPr>
          <w:t>ק"ת</w:t>
        </w:r>
        <w:r w:rsidRPr="0066112E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343EC2" w:rsidRPr="0066112E">
          <w:rPr>
            <w:rStyle w:val="Hyperlink"/>
            <w:rFonts w:hint="cs"/>
            <w:sz w:val="20"/>
            <w:rtl/>
            <w:lang w:eastAsia="en-US"/>
          </w:rPr>
          <w:t>ה</w:t>
        </w:r>
        <w:r w:rsidRPr="0066112E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E52964" w:rsidRPr="0066112E">
          <w:rPr>
            <w:rStyle w:val="Hyperlink"/>
            <w:rFonts w:hint="cs"/>
            <w:sz w:val="20"/>
            <w:rtl/>
            <w:lang w:eastAsia="en-US"/>
          </w:rPr>
          <w:t>7529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E52964">
        <w:rPr>
          <w:rFonts w:hint="cs"/>
          <w:sz w:val="20"/>
          <w:rtl/>
          <w:lang w:eastAsia="en-US"/>
        </w:rPr>
        <w:t>6.7</w:t>
      </w:r>
      <w:r w:rsidR="006522AB">
        <w:rPr>
          <w:rFonts w:hint="cs"/>
          <w:sz w:val="20"/>
          <w:rtl/>
          <w:lang w:eastAsia="en-US"/>
        </w:rPr>
        <w:t>.2015</w:t>
      </w:r>
      <w:r>
        <w:rPr>
          <w:rFonts w:hint="cs"/>
          <w:sz w:val="20"/>
          <w:rtl/>
          <w:lang w:eastAsia="en-US"/>
        </w:rPr>
        <w:t xml:space="preserve"> עמ' </w:t>
      </w:r>
      <w:r w:rsidR="00E52964">
        <w:rPr>
          <w:rFonts w:hint="cs"/>
          <w:sz w:val="20"/>
          <w:rtl/>
          <w:lang w:eastAsia="en-US"/>
        </w:rPr>
        <w:t>1334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FA5D7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FA5D77">
      <w:rPr>
        <w:rFonts w:hint="cs"/>
        <w:color w:val="000000"/>
        <w:sz w:val="28"/>
        <w:szCs w:val="28"/>
        <w:rtl/>
        <w:lang w:eastAsia="en-US"/>
      </w:rPr>
      <w:t xml:space="preserve">שוהם </w:t>
    </w:r>
    <w:r w:rsidR="00FA5D77">
      <w:rPr>
        <w:color w:val="000000"/>
        <w:sz w:val="28"/>
        <w:szCs w:val="28"/>
        <w:rtl/>
        <w:lang w:eastAsia="en-US"/>
      </w:rPr>
      <w:t>–</w:t>
    </w:r>
    <w:r w:rsidR="00FA5D77">
      <w:rPr>
        <w:rFonts w:hint="cs"/>
        <w:color w:val="000000"/>
        <w:sz w:val="28"/>
        <w:szCs w:val="28"/>
        <w:rtl/>
        <w:lang w:eastAsia="en-US"/>
      </w:rPr>
      <w:t xml:space="preserve"> שכונה כ"א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>
      <w:rPr>
        <w:rFonts w:hint="cs"/>
        <w:color w:val="000000"/>
        <w:sz w:val="28"/>
        <w:szCs w:val="28"/>
        <w:rtl/>
        <w:lang w:eastAsia="en-US"/>
      </w:rPr>
      <w:t>ה</w:t>
    </w:r>
    <w:r w:rsidR="006522AB">
      <w:rPr>
        <w:rFonts w:hint="cs"/>
        <w:color w:val="000000"/>
        <w:sz w:val="28"/>
        <w:szCs w:val="28"/>
        <w:rtl/>
        <w:lang w:eastAsia="en-US"/>
      </w:rPr>
      <w:t>-2015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40C9E"/>
    <w:rsid w:val="00104165"/>
    <w:rsid w:val="00106F2A"/>
    <w:rsid w:val="001625B8"/>
    <w:rsid w:val="001B274F"/>
    <w:rsid w:val="001C7939"/>
    <w:rsid w:val="002002A2"/>
    <w:rsid w:val="002069BD"/>
    <w:rsid w:val="00221B98"/>
    <w:rsid w:val="002826E1"/>
    <w:rsid w:val="002C3444"/>
    <w:rsid w:val="00343EC2"/>
    <w:rsid w:val="00397336"/>
    <w:rsid w:val="003B2DBB"/>
    <w:rsid w:val="003B4E86"/>
    <w:rsid w:val="003C0CB7"/>
    <w:rsid w:val="003C191E"/>
    <w:rsid w:val="00445A7F"/>
    <w:rsid w:val="00454ED9"/>
    <w:rsid w:val="004645F4"/>
    <w:rsid w:val="004C6209"/>
    <w:rsid w:val="004D38FF"/>
    <w:rsid w:val="004F5BF3"/>
    <w:rsid w:val="005229CA"/>
    <w:rsid w:val="00554001"/>
    <w:rsid w:val="0055548F"/>
    <w:rsid w:val="00566D86"/>
    <w:rsid w:val="00581DFF"/>
    <w:rsid w:val="005854F0"/>
    <w:rsid w:val="005E6E03"/>
    <w:rsid w:val="00615C88"/>
    <w:rsid w:val="0062144A"/>
    <w:rsid w:val="00630A2E"/>
    <w:rsid w:val="006358FA"/>
    <w:rsid w:val="00635E83"/>
    <w:rsid w:val="00642116"/>
    <w:rsid w:val="006522AB"/>
    <w:rsid w:val="0066112E"/>
    <w:rsid w:val="006F186E"/>
    <w:rsid w:val="00715C84"/>
    <w:rsid w:val="00721859"/>
    <w:rsid w:val="00761F48"/>
    <w:rsid w:val="0079289F"/>
    <w:rsid w:val="007B4EC7"/>
    <w:rsid w:val="007E3B76"/>
    <w:rsid w:val="007E6E46"/>
    <w:rsid w:val="008023DF"/>
    <w:rsid w:val="008172AA"/>
    <w:rsid w:val="00895048"/>
    <w:rsid w:val="008B61AF"/>
    <w:rsid w:val="008D59B4"/>
    <w:rsid w:val="0090326A"/>
    <w:rsid w:val="009341A5"/>
    <w:rsid w:val="009539B9"/>
    <w:rsid w:val="00956F34"/>
    <w:rsid w:val="009C6621"/>
    <w:rsid w:val="009E4C88"/>
    <w:rsid w:val="00A21B4B"/>
    <w:rsid w:val="00A52F1E"/>
    <w:rsid w:val="00AA7B87"/>
    <w:rsid w:val="00AE5D1F"/>
    <w:rsid w:val="00AF140A"/>
    <w:rsid w:val="00B2294E"/>
    <w:rsid w:val="00B75D04"/>
    <w:rsid w:val="00B85773"/>
    <w:rsid w:val="00B900C2"/>
    <w:rsid w:val="00B9242E"/>
    <w:rsid w:val="00BB29E7"/>
    <w:rsid w:val="00C53C34"/>
    <w:rsid w:val="00CB43A9"/>
    <w:rsid w:val="00CB7A00"/>
    <w:rsid w:val="00D6309D"/>
    <w:rsid w:val="00D67C1D"/>
    <w:rsid w:val="00DB296E"/>
    <w:rsid w:val="00E17771"/>
    <w:rsid w:val="00E243A1"/>
    <w:rsid w:val="00E52964"/>
    <w:rsid w:val="00E85CAB"/>
    <w:rsid w:val="00EA7AC2"/>
    <w:rsid w:val="00EF713E"/>
    <w:rsid w:val="00F00574"/>
    <w:rsid w:val="00F130DF"/>
    <w:rsid w:val="00F9483A"/>
    <w:rsid w:val="00F9732F"/>
    <w:rsid w:val="00FA5D77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9E1A54F-4A10-4402-AEB6-ADF6D39B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2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1730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שוהם - שכונה כ"א), תשע"ה-2015</vt:lpwstr>
  </property>
  <property fmtid="{D5CDD505-2E9C-101B-9397-08002B2CF9AE}" pid="5" name="LAWNUMBER">
    <vt:lpwstr>0237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http://www.nevo.co.il/Law_word/law06/tak-7529.pdf;‎רשומות - תקנות כלליות#פורסם ק"ת תשע"ה מס' ‏‏7529 #מיום 6.7.2015 עמ' 1334‏</vt:lpwstr>
  </property>
</Properties>
</file>