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4472" w14:textId="77777777" w:rsidR="00843C98" w:rsidRDefault="00843C9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כפל מס) (פורטוגל), תשס"ח-2008</w:t>
      </w:r>
    </w:p>
    <w:p w14:paraId="1B109CBD" w14:textId="77777777" w:rsidR="00C34662" w:rsidRDefault="00C34662" w:rsidP="00C34662">
      <w:pPr>
        <w:spacing w:line="320" w:lineRule="auto"/>
        <w:rPr>
          <w:rtl/>
        </w:rPr>
      </w:pPr>
    </w:p>
    <w:p w14:paraId="6759B189" w14:textId="77777777" w:rsidR="00C34662" w:rsidRDefault="00C34662" w:rsidP="00C34662">
      <w:pPr>
        <w:spacing w:line="320" w:lineRule="auto"/>
        <w:rPr>
          <w:rFonts w:cs="FrankRuehl"/>
          <w:szCs w:val="26"/>
          <w:rtl/>
        </w:rPr>
      </w:pPr>
      <w:r w:rsidRPr="00C34662">
        <w:rPr>
          <w:rFonts w:cs="Miriam"/>
          <w:szCs w:val="22"/>
          <w:rtl/>
        </w:rPr>
        <w:t>מסים</w:t>
      </w:r>
      <w:r w:rsidRPr="00C34662">
        <w:rPr>
          <w:rFonts w:cs="FrankRuehl"/>
          <w:szCs w:val="26"/>
          <w:rtl/>
        </w:rPr>
        <w:t xml:space="preserve"> – מס הכנסה – מניעת כפל מס</w:t>
      </w:r>
    </w:p>
    <w:p w14:paraId="76FCBB6B" w14:textId="77777777" w:rsidR="00C34662" w:rsidRPr="00C34662" w:rsidRDefault="00C34662" w:rsidP="00C34662">
      <w:pPr>
        <w:spacing w:line="320" w:lineRule="auto"/>
        <w:rPr>
          <w:rFonts w:cs="Miriam"/>
          <w:szCs w:val="22"/>
          <w:rtl/>
        </w:rPr>
      </w:pPr>
      <w:r w:rsidRPr="00C34662">
        <w:rPr>
          <w:rFonts w:cs="Miriam"/>
          <w:szCs w:val="22"/>
          <w:rtl/>
        </w:rPr>
        <w:t>משפט בינ"ל פומבי</w:t>
      </w:r>
      <w:r w:rsidRPr="00C34662">
        <w:rPr>
          <w:rFonts w:cs="FrankRuehl"/>
          <w:szCs w:val="26"/>
          <w:rtl/>
        </w:rPr>
        <w:t xml:space="preserve"> – אמנות – אמנות בעניין מסי כפל</w:t>
      </w:r>
    </w:p>
    <w:p w14:paraId="58AEF23A" w14:textId="77777777" w:rsidR="00843C98" w:rsidRDefault="00843C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3C98" w:rsidRPr="00843C98" w14:paraId="5CE814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8F8CBC" w14:textId="77777777" w:rsidR="00843C98" w:rsidRPr="00843C98" w:rsidRDefault="00843C98" w:rsidP="00843C9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016F732" w14:textId="77777777" w:rsidR="00843C98" w:rsidRPr="00843C98" w:rsidRDefault="00843C98" w:rsidP="00843C9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14:paraId="0C15E60D" w14:textId="77777777" w:rsidR="00843C98" w:rsidRPr="00843C98" w:rsidRDefault="00843C98" w:rsidP="00843C98">
            <w:pPr>
              <w:rPr>
                <w:rStyle w:val="Hyperlink"/>
                <w:rFonts w:hint="cs"/>
                <w:rtl/>
              </w:rPr>
            </w:pPr>
            <w:hyperlink w:anchor="Seif1" w:tooltip="מתן תוקף לאמנה" w:history="1">
              <w:r w:rsidRPr="00843C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272CA2" w14:textId="77777777" w:rsidR="00843C98" w:rsidRPr="00843C98" w:rsidRDefault="00843C98" w:rsidP="00843C9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E77495F" w14:textId="77777777" w:rsidR="00843C98" w:rsidRDefault="00843C98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1469EB9" w14:textId="77777777" w:rsidR="00843C98" w:rsidRDefault="00843C98" w:rsidP="00C3466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(מניעת כפל מס) (פורטוגל),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43F78D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537C959E" w14:textId="77777777" w:rsidR="00843C98" w:rsidRDefault="00843C98" w:rsidP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B008949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7524D78C" w14:textId="77777777" w:rsidR="00843C98" w:rsidRDefault="00843C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לאמנה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Pr="00843C98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לאמנה שנעשתה ביום </w:t>
      </w:r>
      <w:r>
        <w:rPr>
          <w:rStyle w:val="default"/>
          <w:rFonts w:cs="FrankRuehl" w:hint="cs"/>
          <w:rtl/>
        </w:rPr>
        <w:t>ד' בתשרי התשס"ז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26 בספטמבר 2006</w:t>
      </w:r>
      <w:r>
        <w:rPr>
          <w:rStyle w:val="default"/>
          <w:rFonts w:cs="FrankRuehl"/>
          <w:rtl/>
        </w:rPr>
        <w:t xml:space="preserve">), בין מדינת ישראל לבין הרפובליקה </w:t>
      </w:r>
      <w:r>
        <w:rPr>
          <w:rStyle w:val="default"/>
          <w:rFonts w:cs="FrankRuehl" w:hint="cs"/>
          <w:rtl/>
        </w:rPr>
        <w:t xml:space="preserve">הפורטוגלית </w:t>
      </w:r>
      <w:r>
        <w:rPr>
          <w:rStyle w:val="default"/>
          <w:rFonts w:cs="FrankRuehl"/>
          <w:rtl/>
        </w:rPr>
        <w:t xml:space="preserve">בדבר מניעת כפל </w:t>
      </w:r>
      <w:r>
        <w:rPr>
          <w:rStyle w:val="default"/>
          <w:rFonts w:cs="FrankRuehl" w:hint="cs"/>
          <w:rtl/>
        </w:rPr>
        <w:t xml:space="preserve">מס </w:t>
      </w:r>
      <w:r>
        <w:rPr>
          <w:rStyle w:val="default"/>
          <w:rFonts w:cs="FrankRuehl"/>
          <w:rtl/>
        </w:rPr>
        <w:t xml:space="preserve">ומניעת התחמקות </w:t>
      </w:r>
      <w:r>
        <w:rPr>
          <w:rStyle w:val="default"/>
          <w:rFonts w:cs="FrankRuehl" w:hint="cs"/>
          <w:rtl/>
        </w:rPr>
        <w:t xml:space="preserve">ממסים </w:t>
      </w:r>
      <w:r>
        <w:rPr>
          <w:rStyle w:val="default"/>
          <w:rFonts w:cs="FrankRuehl"/>
          <w:rtl/>
        </w:rPr>
        <w:t>בזיקה למסים על הכנסה (להלן – האמנה).</w:t>
      </w:r>
    </w:p>
    <w:p w14:paraId="6D84AD7B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לאמנה יהיה תוקף בישראל לכל שנת מס, </w:t>
      </w:r>
      <w:r>
        <w:rPr>
          <w:rStyle w:val="default"/>
          <w:rFonts w:cs="FrankRuehl" w:hint="cs"/>
          <w:rtl/>
        </w:rPr>
        <w:t>החל ב</w:t>
      </w:r>
      <w:r>
        <w:rPr>
          <w:rStyle w:val="default"/>
          <w:rFonts w:cs="FrankRuehl"/>
          <w:rtl/>
        </w:rPr>
        <w:t>שנת המס המתחילה ביום כ"ג בטבת התשס"ח (1 בינואר 2008) ואילך.</w:t>
      </w:r>
    </w:p>
    <w:p w14:paraId="160034C8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על אף האמור בסעיף קטן (ב), לגבי מסים המנוכים במקור, יהיה לאמנה תוקף החל ביום י"ז באדר ב' התשס"ח (24 במרס 2008) ואילך.</w:t>
      </w:r>
    </w:p>
    <w:p w14:paraId="20F5A21E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591AFD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6D1755" w14:textId="77777777" w:rsidR="00843C98" w:rsidRDefault="00843C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באדר א' התשס"ח (25 בפברואר 2008)</w:t>
      </w:r>
    </w:p>
    <w:p w14:paraId="4F24CCED" w14:textId="77777777" w:rsidR="00843C98" w:rsidRDefault="00843C98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רוני בר-און</w:t>
      </w:r>
    </w:p>
    <w:p w14:paraId="51D69104" w14:textId="77777777" w:rsidR="00843C98" w:rsidRDefault="00843C98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2F861607" w14:textId="77777777" w:rsidR="00843C98" w:rsidRDefault="00843C9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607E0A3" w14:textId="77777777" w:rsidR="00843C98" w:rsidRDefault="00843C9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7419BBE" w14:textId="77777777" w:rsidR="00843C98" w:rsidRDefault="00843C98">
      <w:pPr>
        <w:pStyle w:val="sig-0"/>
        <w:ind w:left="0" w:right="1134"/>
        <w:rPr>
          <w:rFonts w:cs="FrankRuehl"/>
          <w:sz w:val="26"/>
          <w:rtl/>
        </w:rPr>
      </w:pPr>
    </w:p>
    <w:sectPr w:rsidR="00843C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01C5" w14:textId="77777777" w:rsidR="00511BE7" w:rsidRDefault="00511BE7" w:rsidP="00843C98">
      <w:pPr>
        <w:pStyle w:val="big-header"/>
      </w:pPr>
      <w:r>
        <w:separator/>
      </w:r>
    </w:p>
  </w:endnote>
  <w:endnote w:type="continuationSeparator" w:id="0">
    <w:p w14:paraId="7970E854" w14:textId="77777777" w:rsidR="00511BE7" w:rsidRDefault="00511BE7" w:rsidP="00843C98">
      <w:pPr>
        <w:pStyle w:val="big-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AA63" w14:textId="77777777" w:rsidR="00843C98" w:rsidRDefault="00843C9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087DCB" w14:textId="77777777" w:rsidR="00843C98" w:rsidRDefault="00843C9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CEA8D2" w14:textId="77777777" w:rsidR="00843C98" w:rsidRDefault="00843C9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Z:\000000000000-law\yael\08-03-31\tav\999_931.doc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8510" w14:textId="77777777" w:rsidR="00843C98" w:rsidRDefault="00843C9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46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49B4EA" w14:textId="77777777" w:rsidR="00843C98" w:rsidRDefault="00843C9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AE69D2" w14:textId="77777777" w:rsidR="00843C98" w:rsidRDefault="00843C9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Z:\000000000000-law\yael\08-03-31\tav\999_931.doc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9761" w14:textId="77777777" w:rsidR="00511BE7" w:rsidRDefault="00511BE7" w:rsidP="00843C98">
      <w:pPr>
        <w:pStyle w:val="big-header"/>
      </w:pPr>
      <w:r>
        <w:separator/>
      </w:r>
    </w:p>
  </w:footnote>
  <w:footnote w:type="continuationSeparator" w:id="0">
    <w:p w14:paraId="770B0A26" w14:textId="77777777" w:rsidR="00511BE7" w:rsidRDefault="00511BE7" w:rsidP="00843C98">
      <w:pPr>
        <w:pStyle w:val="big-header"/>
      </w:pPr>
      <w:r>
        <w:continuationSeparator/>
      </w:r>
    </w:p>
  </w:footnote>
  <w:footnote w:id="1">
    <w:p w14:paraId="5DA360AB" w14:textId="77777777" w:rsidR="00843C98" w:rsidRDefault="00843C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6658</w:t>
        </w:r>
      </w:hyperlink>
      <w:r>
        <w:rPr>
          <w:rFonts w:cs="FrankRuehl" w:hint="cs"/>
          <w:rtl/>
        </w:rPr>
        <w:t xml:space="preserve"> מיום 30.3.2008 עמ' 643.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1B26" w14:textId="77777777" w:rsidR="00843C98" w:rsidRDefault="00843C9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5BC3149" w14:textId="77777777" w:rsidR="00843C98" w:rsidRDefault="00843C9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BB8501" w14:textId="77777777" w:rsidR="00843C98" w:rsidRDefault="00843C9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F8E5" w14:textId="77777777" w:rsidR="00843C98" w:rsidRDefault="00843C9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כפל מס) (פורטוגל), תשס"ח-2008</w:t>
    </w:r>
  </w:p>
  <w:p w14:paraId="1BE24EB9" w14:textId="77777777" w:rsidR="00843C98" w:rsidRDefault="00843C9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F2C767" w14:textId="77777777" w:rsidR="00843C98" w:rsidRDefault="00843C9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5020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C98"/>
    <w:rsid w:val="003A0215"/>
    <w:rsid w:val="00511BE7"/>
    <w:rsid w:val="00833984"/>
    <w:rsid w:val="00843C98"/>
    <w:rsid w:val="008F3DB4"/>
    <w:rsid w:val="00C34662"/>
    <w:rsid w:val="00E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311EF0"/>
  <w15:chartTrackingRefBased/>
  <w15:docId w15:val="{D66CC0FD-1B39-4C50-866A-757BE5D9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502;&#1505;%20&#1492;&#1499;&#1504;&#1505;&#1492;%20(&#1502;&#1504;&#1497;&#1506;&#1514;%20&#1499;&#1508;&#1500;%20&#1502;&#1505;)%20(&#1508;&#1493;&#1512;&#1496;&#1493;&#1490;&#1500;)&amp;pIzcurNu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980</CharactersWithSpaces>
  <SharedDoc>false</SharedDoc>
  <HLinks>
    <vt:vector size="18" baseType="variant">
      <vt:variant>
        <vt:i4>93390311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http://www.nevo.co.il/links/psika/?pIzcurLaw=צו מס הכנסה (מניעת כפל מס) (פורטוגל)&amp;pIzcurNum=1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2097164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(מניעת כפל מס) (פורטוגל), תשס"ח-2008</vt:lpwstr>
  </property>
  <property fmtid="{D5CDD505-2E9C-101B-9397-08002B2CF9AE}" pid="4" name="LAWNUMBER">
    <vt:lpwstr>0931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http://web1.nevo.co.il/Law_word/law06/TAK-6658.pdf;רשומות – תקנות כלליות#פורסם ק"ת תשס"ח מס' 6658#מיום 30.3.2008#עמ' 643</vt:lpwstr>
  </property>
  <property fmtid="{D5CDD505-2E9C-101B-9397-08002B2CF9AE}" pid="22" name="MEKOR_NAME1">
    <vt:lpwstr>פקודת מס הכנסה</vt:lpwstr>
  </property>
  <property fmtid="{D5CDD505-2E9C-101B-9397-08002B2CF9AE}" pid="23" name="MEKOR_SAIF1">
    <vt:lpwstr>196XאX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מניעת כפל מס</vt:lpwstr>
  </property>
  <property fmtid="{D5CDD505-2E9C-101B-9397-08002B2CF9AE}" pid="27" name="NOSE41">
    <vt:lpwstr/>
  </property>
  <property fmtid="{D5CDD505-2E9C-101B-9397-08002B2CF9AE}" pid="28" name="NOSE12">
    <vt:lpwstr>משפט בינ"ל פומבי</vt:lpwstr>
  </property>
  <property fmtid="{D5CDD505-2E9C-101B-9397-08002B2CF9AE}" pid="29" name="NOSE22">
    <vt:lpwstr>אמנות</vt:lpwstr>
  </property>
  <property fmtid="{D5CDD505-2E9C-101B-9397-08002B2CF9AE}" pid="30" name="NOSE32">
    <vt:lpwstr>אמנות בעניין מסי כפל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