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7B95" w:rsidRDefault="00D57B95" w:rsidP="00E63D3E">
      <w:pPr>
        <w:pStyle w:val="big-header"/>
        <w:ind w:left="0" w:right="1134"/>
        <w:rPr>
          <w:rFonts w:cs="FrankRuehl"/>
          <w:sz w:val="32"/>
        </w:rPr>
      </w:pPr>
      <w:r>
        <w:rPr>
          <w:rFonts w:cs="FrankRuehl"/>
          <w:sz w:val="32"/>
          <w:rtl/>
        </w:rPr>
        <w:t>צו מס הכנסה (מניעת מסי כפל) (ארצות הברית), תשנ"ה</w:t>
      </w:r>
      <w:r w:rsidR="00E63D3E">
        <w:rPr>
          <w:rFonts w:cs="FrankRuehl" w:hint="cs"/>
          <w:sz w:val="32"/>
          <w:rtl/>
        </w:rPr>
        <w:t>-</w:t>
      </w:r>
      <w:r>
        <w:rPr>
          <w:rFonts w:cs="FrankRuehl"/>
          <w:sz w:val="32"/>
          <w:rtl/>
        </w:rPr>
        <w:t>1994</w:t>
      </w:r>
    </w:p>
    <w:p w:rsidR="00CD5237" w:rsidRPr="00CD5237" w:rsidRDefault="00CD5237" w:rsidP="00CD5237">
      <w:pPr>
        <w:spacing w:line="320" w:lineRule="auto"/>
        <w:rPr>
          <w:rFonts w:cs="FrankRuehl"/>
          <w:szCs w:val="26"/>
          <w:rtl/>
        </w:rPr>
      </w:pPr>
    </w:p>
    <w:p w:rsidR="00CD5237" w:rsidRDefault="00CD5237" w:rsidP="00CD5237">
      <w:pPr>
        <w:spacing w:line="320" w:lineRule="auto"/>
        <w:rPr>
          <w:rtl/>
        </w:rPr>
      </w:pPr>
    </w:p>
    <w:p w:rsidR="00CD5237" w:rsidRPr="00CD5237" w:rsidRDefault="00CD5237" w:rsidP="00CD5237">
      <w:pPr>
        <w:spacing w:line="320" w:lineRule="auto"/>
        <w:rPr>
          <w:rFonts w:cs="Miriam"/>
          <w:szCs w:val="22"/>
          <w:rtl/>
        </w:rPr>
      </w:pPr>
      <w:r w:rsidRPr="00CD5237">
        <w:rPr>
          <w:rFonts w:cs="Miriam"/>
          <w:szCs w:val="22"/>
          <w:rtl/>
        </w:rPr>
        <w:t>מסים</w:t>
      </w:r>
      <w:r w:rsidRPr="00CD5237">
        <w:rPr>
          <w:rFonts w:cs="FrankRuehl"/>
          <w:szCs w:val="26"/>
          <w:rtl/>
        </w:rPr>
        <w:t xml:space="preserve"> – מס הכנסה – מסי כפל – אמנות עם מדינות</w:t>
      </w:r>
    </w:p>
    <w:p w:rsidR="00D57B95" w:rsidRDefault="00D57B95">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C6DFC" w:rsidRPr="00BC6DFC">
        <w:tblPrEx>
          <w:tblCellMar>
            <w:top w:w="0" w:type="dxa"/>
            <w:bottom w:w="0" w:type="dxa"/>
          </w:tblCellMar>
        </w:tblPrEx>
        <w:tc>
          <w:tcPr>
            <w:tcW w:w="1247" w:type="dxa"/>
          </w:tcPr>
          <w:p w:rsidR="00BC6DFC" w:rsidRPr="00BC6DFC" w:rsidRDefault="00BC6DFC" w:rsidP="00BC6DFC">
            <w:pPr>
              <w:rPr>
                <w:rFonts w:cs="Frankruhel"/>
                <w:rtl/>
              </w:rPr>
            </w:pPr>
            <w:r>
              <w:rPr>
                <w:rtl/>
              </w:rPr>
              <w:t xml:space="preserve">סעיף 1 </w:t>
            </w:r>
          </w:p>
        </w:tc>
        <w:tc>
          <w:tcPr>
            <w:tcW w:w="5669" w:type="dxa"/>
          </w:tcPr>
          <w:p w:rsidR="00BC6DFC" w:rsidRPr="00BC6DFC" w:rsidRDefault="00BC6DFC" w:rsidP="00BC6DFC">
            <w:pPr>
              <w:rPr>
                <w:rFonts w:cs="Frankruhel"/>
                <w:rtl/>
              </w:rPr>
            </w:pPr>
            <w:r>
              <w:rPr>
                <w:rtl/>
              </w:rPr>
              <w:t>מתן תוקף להסכם</w:t>
            </w:r>
          </w:p>
        </w:tc>
        <w:tc>
          <w:tcPr>
            <w:tcW w:w="567" w:type="dxa"/>
          </w:tcPr>
          <w:p w:rsidR="00BC6DFC" w:rsidRPr="00BC6DFC" w:rsidRDefault="00BC6DFC" w:rsidP="00BC6DFC">
            <w:pPr>
              <w:rPr>
                <w:rStyle w:val="Hyperlink"/>
                <w:rtl/>
              </w:rPr>
            </w:pPr>
            <w:hyperlink w:anchor="Seif1" w:tooltip="מתן תוקף להסכם" w:history="1">
              <w:r w:rsidRPr="00BC6DFC">
                <w:rPr>
                  <w:rStyle w:val="Hyperlink"/>
                </w:rPr>
                <w:t>Go</w:t>
              </w:r>
            </w:hyperlink>
          </w:p>
        </w:tc>
        <w:tc>
          <w:tcPr>
            <w:tcW w:w="850" w:type="dxa"/>
          </w:tcPr>
          <w:p w:rsidR="00BC6DFC" w:rsidRPr="00BC6DFC" w:rsidRDefault="00BC6DFC" w:rsidP="00BC6DF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bl>
    <w:p w:rsidR="00D57B95" w:rsidRDefault="00D57B95">
      <w:pPr>
        <w:pStyle w:val="big-header"/>
        <w:ind w:left="0" w:right="1134"/>
        <w:rPr>
          <w:rFonts w:cs="FrankRuehl"/>
          <w:sz w:val="32"/>
          <w:rtl/>
        </w:rPr>
      </w:pPr>
    </w:p>
    <w:p w:rsidR="00D57B95" w:rsidRDefault="00D57B95" w:rsidP="00CD5237">
      <w:pPr>
        <w:pStyle w:val="big-header"/>
        <w:ind w:left="0" w:right="1134"/>
        <w:rPr>
          <w:rStyle w:val="default"/>
          <w:rFonts w:hint="cs"/>
          <w:rtl/>
        </w:rPr>
      </w:pPr>
      <w:r>
        <w:rPr>
          <w:rtl/>
        </w:rPr>
        <w:br w:type="page"/>
      </w:r>
      <w:r>
        <w:rPr>
          <w:rFonts w:cs="FrankRuehl"/>
          <w:sz w:val="32"/>
          <w:rtl/>
        </w:rPr>
        <w:lastRenderedPageBreak/>
        <w:t>צו</w:t>
      </w:r>
      <w:r>
        <w:rPr>
          <w:rFonts w:cs="FrankRuehl" w:hint="cs"/>
          <w:sz w:val="32"/>
          <w:rtl/>
        </w:rPr>
        <w:t xml:space="preserve"> מס הכנסה (מניעת מסי כפל) (ארצות הברית), תשנ"ה</w:t>
      </w:r>
      <w:r w:rsidR="00E63D3E">
        <w:rPr>
          <w:rFonts w:cs="FrankRuehl" w:hint="cs"/>
          <w:sz w:val="32"/>
          <w:rtl/>
        </w:rPr>
        <w:t>-</w:t>
      </w:r>
      <w:r>
        <w:rPr>
          <w:rFonts w:cs="FrankRuehl"/>
          <w:sz w:val="32"/>
          <w:rtl/>
        </w:rPr>
        <w:t>1994</w:t>
      </w:r>
      <w:r w:rsidR="00E63D3E">
        <w:rPr>
          <w:rStyle w:val="a6"/>
          <w:rFonts w:cs="FrankRuehl"/>
          <w:sz w:val="32"/>
          <w:rtl/>
        </w:rPr>
        <w:footnoteReference w:customMarkFollows="1" w:id="1"/>
        <w:t>*</w:t>
      </w:r>
    </w:p>
    <w:p w:rsidR="00D57B95" w:rsidRPr="00266047" w:rsidRDefault="00D57B95">
      <w:pPr>
        <w:pStyle w:val="P00"/>
        <w:spacing w:before="72"/>
        <w:ind w:left="0" w:right="1134"/>
        <w:rPr>
          <w:rStyle w:val="default"/>
          <w:rFonts w:cs="FrankRuehl"/>
          <w:rtl/>
        </w:rPr>
      </w:pPr>
      <w:r w:rsidRPr="00266047">
        <w:rPr>
          <w:rFonts w:cs="FrankRuehl"/>
          <w:sz w:val="26"/>
          <w:rtl/>
        </w:rPr>
        <w:tab/>
      </w:r>
      <w:r w:rsidRPr="00266047">
        <w:rPr>
          <w:rStyle w:val="default"/>
          <w:rFonts w:cs="FrankRuehl"/>
          <w:rtl/>
        </w:rPr>
        <w:t>בתוקף סמכותי לפי סעיף 196(א) לפקודת מס הכנסה, אני מודיע לאמור:</w:t>
      </w:r>
    </w:p>
    <w:p w:rsidR="00D57B95" w:rsidRPr="00266047" w:rsidRDefault="00D57B95">
      <w:pPr>
        <w:pStyle w:val="P00"/>
        <w:spacing w:before="72"/>
        <w:ind w:left="0" w:right="1134"/>
        <w:rPr>
          <w:rStyle w:val="default"/>
          <w:rFonts w:cs="FrankRuehl"/>
          <w:rtl/>
        </w:rPr>
      </w:pPr>
      <w:bookmarkStart w:id="0" w:name="Seif1"/>
      <w:bookmarkEnd w:id="0"/>
      <w:r w:rsidRPr="00E63D3E">
        <w:rPr>
          <w:rFonts w:cs="Miriam"/>
          <w:lang w:val="he-IL"/>
        </w:rPr>
        <w:pict>
          <v:rect id="_x0000_s1026" style="position:absolute;left:0;text-align:left;margin-left:464.5pt;margin-top:8.05pt;width:75.05pt;height:18.2pt;z-index:251657728" o:allowincell="f" filled="f" stroked="f" strokecolor="lime" strokeweight=".25pt">
            <v:textbox inset="0,0,0,0">
              <w:txbxContent>
                <w:p w:rsidR="00D57B95" w:rsidRDefault="00D57B95">
                  <w:pPr>
                    <w:spacing w:line="160" w:lineRule="exact"/>
                    <w:rPr>
                      <w:rFonts w:cs="Miriam"/>
                      <w:noProof/>
                      <w:sz w:val="18"/>
                      <w:szCs w:val="18"/>
                      <w:rtl/>
                    </w:rPr>
                  </w:pPr>
                  <w:r>
                    <w:rPr>
                      <w:rFonts w:cs="Miriam"/>
                      <w:sz w:val="18"/>
                      <w:szCs w:val="18"/>
                      <w:rtl/>
                    </w:rPr>
                    <w:t>מת</w:t>
                  </w:r>
                  <w:r>
                    <w:rPr>
                      <w:rFonts w:cs="Miriam" w:hint="cs"/>
                      <w:sz w:val="18"/>
                      <w:szCs w:val="18"/>
                      <w:rtl/>
                    </w:rPr>
                    <w:t>ן תוקף להסכם</w:t>
                  </w:r>
                </w:p>
              </w:txbxContent>
            </v:textbox>
            <w10:anchorlock/>
          </v:rect>
        </w:pict>
      </w:r>
      <w:r w:rsidRPr="00E63D3E">
        <w:rPr>
          <w:rStyle w:val="big-number"/>
          <w:rFonts w:cs="Miriam"/>
          <w:rtl/>
        </w:rPr>
        <w:t>1</w:t>
      </w:r>
      <w:r w:rsidRPr="00E63D3E">
        <w:rPr>
          <w:rStyle w:val="big-number"/>
          <w:rFonts w:cs="FrankRuehl"/>
          <w:sz w:val="26"/>
          <w:szCs w:val="26"/>
          <w:rtl/>
        </w:rPr>
        <w:t>.</w:t>
      </w:r>
      <w:r w:rsidRPr="00E63D3E">
        <w:rPr>
          <w:rStyle w:val="big-number"/>
          <w:rFonts w:cs="FrankRuehl"/>
          <w:sz w:val="26"/>
          <w:szCs w:val="26"/>
          <w:rtl/>
        </w:rPr>
        <w:tab/>
      </w:r>
      <w:r w:rsidRPr="00266047">
        <w:rPr>
          <w:rStyle w:val="default"/>
          <w:rFonts w:cs="FrankRuehl"/>
          <w:rtl/>
        </w:rPr>
        <w:t>מן המועיל הוא שינתן תוקף לאמנה שנעשתה ביום 20 בנובמבר 1975, לרבות שני פרוטוקולים מתקנים אשר נחתמו בתאריך 30 במאי 1980 ובתאריך 26 בינואר 1993, עם ממשלת ארצות הברית של אמריקה לגבי מסים על הכנסה. האמנה תיכנס לתוקף בישראל בהתאם לאמור בה.</w:t>
      </w:r>
    </w:p>
    <w:p w:rsidR="00D57B95" w:rsidRDefault="00D57B95">
      <w:pPr>
        <w:pStyle w:val="P00"/>
        <w:spacing w:before="72"/>
        <w:ind w:left="0" w:right="1134"/>
        <w:rPr>
          <w:rStyle w:val="default"/>
          <w:rFonts w:cs="FrankRuehl" w:hint="cs"/>
          <w:rtl/>
        </w:rPr>
      </w:pPr>
    </w:p>
    <w:p w:rsidR="00E63D3E" w:rsidRPr="00E63D3E" w:rsidRDefault="00E63D3E">
      <w:pPr>
        <w:pStyle w:val="P00"/>
        <w:spacing w:before="72"/>
        <w:ind w:left="0" w:right="1134"/>
        <w:rPr>
          <w:rStyle w:val="default"/>
          <w:rFonts w:cs="FrankRuehl" w:hint="cs"/>
          <w:rtl/>
        </w:rPr>
      </w:pPr>
    </w:p>
    <w:p w:rsidR="00D57B95" w:rsidRPr="00E63D3E" w:rsidRDefault="00D57B95">
      <w:pPr>
        <w:pStyle w:val="P00"/>
        <w:tabs>
          <w:tab w:val="clear" w:pos="624"/>
          <w:tab w:val="clear" w:pos="1021"/>
          <w:tab w:val="clear" w:pos="1474"/>
          <w:tab w:val="clear" w:pos="1928"/>
          <w:tab w:val="clear" w:pos="2381"/>
          <w:tab w:val="clear" w:pos="2835"/>
          <w:tab w:val="clear" w:pos="6259"/>
          <w:tab w:val="center" w:pos="4820"/>
        </w:tabs>
        <w:spacing w:before="72"/>
        <w:ind w:left="0" w:right="1134"/>
        <w:rPr>
          <w:rFonts w:cs="FrankRuehl"/>
          <w:sz w:val="26"/>
          <w:rtl/>
        </w:rPr>
      </w:pPr>
      <w:r w:rsidRPr="00E63D3E">
        <w:rPr>
          <w:rFonts w:cs="FrankRuehl"/>
          <w:sz w:val="26"/>
          <w:rtl/>
        </w:rPr>
        <w:t xml:space="preserve">כ"ד </w:t>
      </w:r>
      <w:r w:rsidRPr="00E63D3E">
        <w:rPr>
          <w:rFonts w:cs="FrankRuehl" w:hint="cs"/>
          <w:sz w:val="26"/>
          <w:rtl/>
        </w:rPr>
        <w:t>בתשרי תשנ"ה (29 בספטמבר 1994)</w:t>
      </w:r>
      <w:r w:rsidRPr="00E63D3E">
        <w:rPr>
          <w:rFonts w:cs="FrankRuehl"/>
          <w:sz w:val="26"/>
          <w:rtl/>
        </w:rPr>
        <w:t xml:space="preserve"> </w:t>
      </w:r>
      <w:r w:rsidRPr="00E63D3E">
        <w:rPr>
          <w:rFonts w:cs="FrankRuehl"/>
          <w:sz w:val="26"/>
          <w:rtl/>
        </w:rPr>
        <w:tab/>
        <w:t>א</w:t>
      </w:r>
      <w:r w:rsidRPr="00E63D3E">
        <w:rPr>
          <w:rFonts w:cs="FrankRuehl" w:hint="cs"/>
          <w:sz w:val="26"/>
          <w:rtl/>
        </w:rPr>
        <w:t>ברהם (בייגה) שוחט</w:t>
      </w:r>
    </w:p>
    <w:p w:rsidR="00D57B95" w:rsidRPr="00E63D3E" w:rsidRDefault="00D57B95" w:rsidP="00E63D3E">
      <w:pPr>
        <w:pStyle w:val="P00"/>
        <w:tabs>
          <w:tab w:val="clear" w:pos="624"/>
          <w:tab w:val="clear" w:pos="1021"/>
          <w:tab w:val="clear" w:pos="1474"/>
          <w:tab w:val="clear" w:pos="1928"/>
          <w:tab w:val="clear" w:pos="2381"/>
          <w:tab w:val="clear" w:pos="2835"/>
          <w:tab w:val="clear" w:pos="6259"/>
          <w:tab w:val="center" w:pos="4820"/>
        </w:tabs>
        <w:spacing w:before="0"/>
        <w:ind w:left="0" w:right="1134"/>
        <w:rPr>
          <w:rFonts w:cs="FrankRuehl" w:hint="cs"/>
          <w:sz w:val="22"/>
          <w:szCs w:val="22"/>
          <w:rtl/>
        </w:rPr>
      </w:pPr>
      <w:r w:rsidRPr="00E63D3E">
        <w:rPr>
          <w:rFonts w:cs="FrankRuehl"/>
          <w:sz w:val="22"/>
          <w:szCs w:val="22"/>
          <w:rtl/>
        </w:rPr>
        <w:tab/>
        <w:t>ש</w:t>
      </w:r>
      <w:r w:rsidRPr="00E63D3E">
        <w:rPr>
          <w:rFonts w:cs="FrankRuehl" w:hint="cs"/>
          <w:sz w:val="22"/>
          <w:szCs w:val="22"/>
          <w:rtl/>
        </w:rPr>
        <w:t>ר האוצר</w:t>
      </w:r>
    </w:p>
    <w:p w:rsidR="00E63D3E" w:rsidRPr="00E63D3E" w:rsidRDefault="00E63D3E" w:rsidP="00E63D3E">
      <w:pPr>
        <w:pStyle w:val="P00"/>
        <w:spacing w:before="72"/>
        <w:ind w:left="0" w:right="1134"/>
        <w:rPr>
          <w:rStyle w:val="default"/>
          <w:rFonts w:cs="FrankRuehl" w:hint="cs"/>
          <w:rtl/>
        </w:rPr>
      </w:pPr>
    </w:p>
    <w:p w:rsidR="00E63D3E" w:rsidRPr="00E63D3E" w:rsidRDefault="00E63D3E" w:rsidP="00E63D3E">
      <w:pPr>
        <w:pStyle w:val="P00"/>
        <w:spacing w:before="72"/>
        <w:ind w:left="0" w:right="1134"/>
        <w:rPr>
          <w:rStyle w:val="default"/>
          <w:rFonts w:cs="FrankRuehl"/>
          <w:rtl/>
        </w:rPr>
      </w:pPr>
    </w:p>
    <w:p w:rsidR="00D57B95" w:rsidRPr="00E63D3E" w:rsidRDefault="00D57B95" w:rsidP="00E63D3E">
      <w:pPr>
        <w:pStyle w:val="P00"/>
        <w:spacing w:before="72"/>
        <w:ind w:left="0" w:right="1134"/>
        <w:rPr>
          <w:rStyle w:val="default"/>
          <w:rFonts w:cs="FrankRuehl"/>
          <w:rtl/>
        </w:rPr>
      </w:pPr>
      <w:bookmarkStart w:id="1" w:name="LawPartEnd"/>
    </w:p>
    <w:bookmarkEnd w:id="1"/>
    <w:p w:rsidR="00D57B95" w:rsidRPr="00E63D3E" w:rsidRDefault="00D57B95" w:rsidP="00E63D3E">
      <w:pPr>
        <w:pStyle w:val="P00"/>
        <w:spacing w:before="72"/>
        <w:ind w:left="0" w:right="1134"/>
        <w:rPr>
          <w:rStyle w:val="default"/>
          <w:rFonts w:cs="FrankRuehl"/>
          <w:rtl/>
        </w:rPr>
      </w:pPr>
    </w:p>
    <w:sectPr w:rsidR="00D57B95" w:rsidRPr="00E63D3E">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C4492" w:rsidRDefault="00DC4492">
      <w:r>
        <w:separator/>
      </w:r>
    </w:p>
  </w:endnote>
  <w:endnote w:type="continuationSeparator" w:id="0">
    <w:p w:rsidR="00DC4492" w:rsidRDefault="00DC4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7B95" w:rsidRDefault="00D57B95">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rsidR="00D57B95" w:rsidRDefault="00D57B95">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57B95" w:rsidRDefault="00D57B95">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C6DFC">
      <w:rPr>
        <w:rFonts w:cs="TopType Jerushalmi"/>
        <w:noProof/>
        <w:color w:val="000000"/>
        <w:sz w:val="14"/>
        <w:szCs w:val="14"/>
      </w:rPr>
      <w:t>Z:\000000000000-law\yael\08-10-12\255_338.doc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7B95" w:rsidRDefault="00D57B95">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CD5237">
      <w:rPr>
        <w:rFonts w:hAnsi="FrankRuehl" w:cs="FrankRuehl"/>
        <w:noProof/>
        <w:rtl/>
      </w:rPr>
      <w:t>1</w:t>
    </w:r>
    <w:r>
      <w:rPr>
        <w:rFonts w:hAnsi="FrankRuehl" w:cs="FrankRuehl"/>
        <w:rtl/>
      </w:rPr>
      <w:fldChar w:fldCharType="end"/>
    </w:r>
  </w:p>
  <w:p w:rsidR="00D57B95" w:rsidRDefault="00D57B95">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57B95" w:rsidRDefault="00D57B95">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C6DFC">
      <w:rPr>
        <w:rFonts w:cs="TopType Jerushalmi"/>
        <w:noProof/>
        <w:color w:val="000000"/>
        <w:sz w:val="14"/>
        <w:szCs w:val="14"/>
      </w:rPr>
      <w:t>Z:\000000000000-law\yael\08-10-12\255_338.doc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C4492" w:rsidRDefault="00DC4492" w:rsidP="00E63D3E">
      <w:pPr>
        <w:spacing w:before="60"/>
        <w:ind w:right="1134"/>
      </w:pPr>
      <w:r>
        <w:separator/>
      </w:r>
    </w:p>
  </w:footnote>
  <w:footnote w:type="continuationSeparator" w:id="0">
    <w:p w:rsidR="00DC4492" w:rsidRDefault="00DC4492">
      <w:r>
        <w:continuationSeparator/>
      </w:r>
    </w:p>
  </w:footnote>
  <w:footnote w:id="1">
    <w:p w:rsidR="00E63D3E" w:rsidRPr="00E63D3E" w:rsidRDefault="00E63D3E" w:rsidP="00E63D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E63D3E">
        <w:rPr>
          <w:rFonts w:cs="FrankRuehl"/>
          <w:rtl/>
        </w:rPr>
        <w:t xml:space="preserve">* </w:t>
      </w:r>
      <w:r>
        <w:rPr>
          <w:rFonts w:cs="FrankRuehl"/>
          <w:rtl/>
        </w:rPr>
        <w:t>פו</w:t>
      </w:r>
      <w:r>
        <w:rPr>
          <w:rFonts w:cs="FrankRuehl" w:hint="cs"/>
          <w:rtl/>
        </w:rPr>
        <w:t xml:space="preserve">רסם </w:t>
      </w:r>
      <w:hyperlink r:id="rId1" w:history="1">
        <w:r w:rsidRPr="00266047">
          <w:rPr>
            <w:rStyle w:val="Hyperlink"/>
            <w:rFonts w:cs="FrankRuehl" w:hint="cs"/>
            <w:rtl/>
          </w:rPr>
          <w:t>ק"ת תשנ"ה מס' 5632</w:t>
        </w:r>
      </w:hyperlink>
      <w:r>
        <w:rPr>
          <w:rFonts w:cs="FrankRuehl" w:hint="cs"/>
          <w:rtl/>
        </w:rPr>
        <w:t xml:space="preserve"> מיום 17.10.1994 עמ' 242.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7B95" w:rsidRDefault="00D57B9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(מניעת מסי כפל) (ארצות הברית), תשנ"ה–1994</w:t>
    </w:r>
  </w:p>
  <w:p w:rsidR="00D57B95" w:rsidRDefault="00D57B9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57B95" w:rsidRDefault="00D57B9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7B95" w:rsidRDefault="00D57B95" w:rsidP="00E63D3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(מניעת מסי כפל) (ארצות הברית), תשנ"ה</w:t>
    </w:r>
    <w:r w:rsidR="00E63D3E">
      <w:rPr>
        <w:rFonts w:hAnsi="FrankRuehl" w:cs="FrankRuehl" w:hint="cs"/>
        <w:color w:val="000000"/>
        <w:sz w:val="28"/>
        <w:szCs w:val="28"/>
        <w:rtl/>
      </w:rPr>
      <w:t>-</w:t>
    </w:r>
    <w:r>
      <w:rPr>
        <w:rFonts w:hAnsi="FrankRuehl" w:cs="FrankRuehl"/>
        <w:color w:val="000000"/>
        <w:sz w:val="28"/>
        <w:szCs w:val="28"/>
        <w:rtl/>
      </w:rPr>
      <w:t>1994</w:t>
    </w:r>
  </w:p>
  <w:p w:rsidR="00D57B95" w:rsidRDefault="00D57B9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57B95" w:rsidRDefault="00D57B9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66047"/>
    <w:rsid w:val="000957F3"/>
    <w:rsid w:val="000B4D79"/>
    <w:rsid w:val="00112A39"/>
    <w:rsid w:val="00266047"/>
    <w:rsid w:val="00870444"/>
    <w:rsid w:val="00BB5DAC"/>
    <w:rsid w:val="00BC6DFC"/>
    <w:rsid w:val="00CD5237"/>
    <w:rsid w:val="00D57B95"/>
    <w:rsid w:val="00DC4492"/>
    <w:rsid w:val="00E63D3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6F9FE82-825D-4E67-84E7-E9DD4E829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paragraph" w:styleId="a5">
    <w:name w:val="footnote text"/>
    <w:basedOn w:val="a"/>
    <w:semiHidden/>
    <w:rsid w:val="00E63D3E"/>
    <w:rPr>
      <w:sz w:val="20"/>
      <w:szCs w:val="20"/>
    </w:rPr>
  </w:style>
  <w:style w:type="character" w:styleId="a6">
    <w:name w:val="footnote reference"/>
    <w:basedOn w:val="a0"/>
    <w:semiHidden/>
    <w:rsid w:val="00E63D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63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94</Words>
  <Characters>541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634</CharactersWithSpaces>
  <SharedDoc>false</SharedDoc>
  <HLinks>
    <vt:vector size="12" baseType="variant">
      <vt:variant>
        <vt:i4>196634</vt:i4>
      </vt:variant>
      <vt:variant>
        <vt:i4>0</vt:i4>
      </vt:variant>
      <vt:variant>
        <vt:i4>0</vt:i4>
      </vt:variant>
      <vt:variant>
        <vt:i4>5</vt:i4>
      </vt:variant>
      <vt:variant>
        <vt:lpwstr/>
      </vt:variant>
      <vt:variant>
        <vt:lpwstr>Seif1</vt:lpwstr>
      </vt:variant>
      <vt:variant>
        <vt:i4>8323084</vt:i4>
      </vt:variant>
      <vt:variant>
        <vt:i4>0</vt:i4>
      </vt:variant>
      <vt:variant>
        <vt:i4>0</vt:i4>
      </vt:variant>
      <vt:variant>
        <vt:i4>5</vt:i4>
      </vt:variant>
      <vt:variant>
        <vt:lpwstr>http://www.nevo.co.il/Law_word/law06/TAK-5632.pdf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hofit</dc:creator>
  <cp:keywords/>
  <dc:description/>
  <cp:lastModifiedBy>Shimon Doodkin</cp:lastModifiedBy>
  <cp:revision>2</cp:revision>
  <dcterms:created xsi:type="dcterms:W3CDTF">2023-06-05T19:22:00Z</dcterms:created>
  <dcterms:modified xsi:type="dcterms:W3CDTF">2023-06-05T19:22:00Z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צו מס הכנסה (מניעת מסי כפל) (ארצות הברית), תשנ"ה-1994</vt:lpwstr>
  </property>
  <property fmtid="{D5CDD505-2E9C-101B-9397-08002B2CF9AE}" pid="5" name="LAWNUMBER">
    <vt:lpwstr>0338</vt:lpwstr>
  </property>
  <property fmtid="{D5CDD505-2E9C-101B-9397-08002B2CF9AE}" pid="6" name="TYPE">
    <vt:lpwstr>01</vt:lpwstr>
  </property>
  <property fmtid="{D5CDD505-2E9C-101B-9397-08002B2CF9AE}" pid="7" name="MEKOR_NAME1">
    <vt:lpwstr>פקודת מס הכנסה</vt:lpwstr>
  </property>
  <property fmtid="{D5CDD505-2E9C-101B-9397-08002B2CF9AE}" pid="8" name="MEKOR_SAIF1">
    <vt:lpwstr>196XאX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מסי כפל</vt:lpwstr>
  </property>
  <property fmtid="{D5CDD505-2E9C-101B-9397-08002B2CF9AE}" pid="12" name="NOSE41">
    <vt:lpwstr>אמנות עם מדינות</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