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FE69" w14:textId="77777777" w:rsidR="00D1398C" w:rsidRDefault="00D1398C">
      <w:pPr>
        <w:pStyle w:val="big-header"/>
        <w:ind w:left="0" w:right="1134"/>
        <w:rPr>
          <w:rFonts w:cs="FrankRuehl"/>
          <w:sz w:val="32"/>
        </w:rPr>
      </w:pPr>
      <w:r>
        <w:rPr>
          <w:rFonts w:cs="FrankRuehl" w:hint="cs"/>
          <w:sz w:val="32"/>
          <w:rtl/>
        </w:rPr>
        <w:t>צו מס הכנסה (מניעת מסי כפל) (מולדובה), תשס"ז-2007</w:t>
      </w:r>
    </w:p>
    <w:p w14:paraId="1A9AB818" w14:textId="77777777" w:rsidR="00B63E38" w:rsidRPr="00B63E38" w:rsidRDefault="00B63E38" w:rsidP="00B63E38">
      <w:pPr>
        <w:spacing w:line="320" w:lineRule="auto"/>
        <w:rPr>
          <w:rFonts w:cs="FrankRuehl"/>
          <w:szCs w:val="26"/>
          <w:rtl/>
        </w:rPr>
      </w:pPr>
    </w:p>
    <w:p w14:paraId="3C95422B" w14:textId="77777777" w:rsidR="00B63E38" w:rsidRDefault="00B63E38" w:rsidP="00B63E38">
      <w:pPr>
        <w:spacing w:line="320" w:lineRule="auto"/>
        <w:rPr>
          <w:rtl/>
        </w:rPr>
      </w:pPr>
    </w:p>
    <w:p w14:paraId="4518301B" w14:textId="77777777" w:rsidR="00B63E38" w:rsidRPr="00B63E38" w:rsidRDefault="00B63E38" w:rsidP="00B63E38">
      <w:pPr>
        <w:spacing w:line="320" w:lineRule="auto"/>
        <w:rPr>
          <w:rFonts w:cs="Miriam"/>
          <w:szCs w:val="22"/>
          <w:rtl/>
        </w:rPr>
      </w:pPr>
      <w:r w:rsidRPr="00B63E38">
        <w:rPr>
          <w:rFonts w:cs="Miriam"/>
          <w:szCs w:val="22"/>
          <w:rtl/>
        </w:rPr>
        <w:t>מסים</w:t>
      </w:r>
      <w:r w:rsidRPr="00B63E38">
        <w:rPr>
          <w:rFonts w:cs="FrankRuehl"/>
          <w:szCs w:val="26"/>
          <w:rtl/>
        </w:rPr>
        <w:t xml:space="preserve"> – מס הכנסה – מסי כפל – אמנות עם מדינות</w:t>
      </w:r>
    </w:p>
    <w:p w14:paraId="4BFA5666" w14:textId="77777777" w:rsidR="00D1398C" w:rsidRDefault="00D1398C">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398C" w14:paraId="3BD5C4C0" w14:textId="77777777">
        <w:tblPrEx>
          <w:tblCellMar>
            <w:top w:w="0" w:type="dxa"/>
            <w:bottom w:w="0" w:type="dxa"/>
          </w:tblCellMar>
        </w:tblPrEx>
        <w:trPr>
          <w:jc w:val="right"/>
        </w:trPr>
        <w:tc>
          <w:tcPr>
            <w:tcW w:w="850" w:type="dxa"/>
          </w:tcPr>
          <w:p w14:paraId="5DD151AF" w14:textId="77777777" w:rsidR="00D1398C" w:rsidRDefault="00D1398C">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2377D1E" w14:textId="77777777" w:rsidR="00D1398C" w:rsidRDefault="00D1398C">
            <w:pPr>
              <w:rPr>
                <w:rFonts w:cs="Frankruhel" w:hint="cs"/>
              </w:rPr>
            </w:pPr>
            <w:hyperlink w:anchor="Seif0" w:tooltip="מתן תוקף לאמנה" w:history="1">
              <w:r>
                <w:rPr>
                  <w:rStyle w:val="Hyperlink"/>
                </w:rPr>
                <w:t>Go</w:t>
              </w:r>
            </w:hyperlink>
          </w:p>
        </w:tc>
        <w:tc>
          <w:tcPr>
            <w:tcW w:w="5669" w:type="dxa"/>
          </w:tcPr>
          <w:p w14:paraId="65C7B9DE" w14:textId="77777777" w:rsidR="00D1398C" w:rsidRDefault="00D1398C">
            <w:pPr>
              <w:rPr>
                <w:rFonts w:cs="Frankruhel"/>
                <w:rtl/>
              </w:rPr>
            </w:pPr>
            <w:r>
              <w:rPr>
                <w:rFonts w:cs="Frankruhel"/>
                <w:rtl/>
              </w:rPr>
              <w:t>מתן תוקף לאמנה</w:t>
            </w:r>
          </w:p>
        </w:tc>
        <w:tc>
          <w:tcPr>
            <w:tcW w:w="1247" w:type="dxa"/>
          </w:tcPr>
          <w:p w14:paraId="3A326EE9" w14:textId="77777777" w:rsidR="00D1398C" w:rsidRDefault="00D1398C">
            <w:pPr>
              <w:rPr>
                <w:rFonts w:cs="Frankruhel" w:hint="cs"/>
              </w:rPr>
            </w:pPr>
            <w:r>
              <w:rPr>
                <w:rFonts w:cs="Frankruhel"/>
                <w:rtl/>
              </w:rPr>
              <w:t xml:space="preserve">סעיף 1 </w:t>
            </w:r>
          </w:p>
        </w:tc>
      </w:tr>
    </w:tbl>
    <w:p w14:paraId="12E9C701" w14:textId="77777777" w:rsidR="00D1398C" w:rsidRDefault="00D1398C">
      <w:pPr>
        <w:pStyle w:val="big-header"/>
        <w:ind w:left="0" w:right="1134"/>
        <w:rPr>
          <w:rFonts w:cs="FrankRuehl" w:hint="cs"/>
          <w:sz w:val="32"/>
          <w:rtl/>
        </w:rPr>
      </w:pPr>
    </w:p>
    <w:p w14:paraId="2D842F41" w14:textId="77777777" w:rsidR="00D1398C" w:rsidRDefault="00D1398C" w:rsidP="00B63E38">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(מולדובה), תשס"ז-2007</w:t>
      </w:r>
      <w:r>
        <w:rPr>
          <w:rStyle w:val="default"/>
          <w:sz w:val="22"/>
          <w:szCs w:val="22"/>
          <w:rtl/>
        </w:rPr>
        <w:footnoteReference w:customMarkFollows="1" w:id="1"/>
        <w:t>*</w:t>
      </w:r>
    </w:p>
    <w:p w14:paraId="4315ABCD" w14:textId="77777777" w:rsidR="00D1398C" w:rsidRDefault="00D1398C">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196(א) לפקודת מס הכנסה, אני מודיע ומצווה לאמור:</w:t>
      </w:r>
    </w:p>
    <w:p w14:paraId="316CB37C" w14:textId="77777777" w:rsidR="00D1398C" w:rsidRDefault="00D1398C">
      <w:pPr>
        <w:pStyle w:val="P00"/>
        <w:spacing w:before="72"/>
        <w:ind w:left="0" w:right="1134"/>
        <w:rPr>
          <w:rStyle w:val="default"/>
          <w:rFonts w:cs="FrankRuehl" w:hint="cs"/>
          <w:rtl/>
        </w:rPr>
      </w:pPr>
      <w:bookmarkStart w:id="0" w:name="Seif0"/>
      <w:bookmarkEnd w:id="0"/>
      <w:r>
        <w:rPr>
          <w:rFonts w:cs="Miriam"/>
          <w:lang w:val="he-IL"/>
        </w:rPr>
        <w:pict w14:anchorId="305B6675">
          <v:rect id="_x0000_s1026" style="position:absolute;left:0;text-align:left;margin-left:464.35pt;margin-top:7.1pt;width:75.05pt;height:12.95pt;z-index:251657728" o:allowincell="f" filled="f" stroked="f" strokecolor="lime" strokeweight=".25pt">
            <v:textbox style="mso-next-textbox:#_x0000_s1026" inset="0,0,0,0">
              <w:txbxContent>
                <w:p w14:paraId="47AD6025" w14:textId="77777777" w:rsidR="00D1398C" w:rsidRDefault="00D1398C">
                  <w:pPr>
                    <w:spacing w:line="160" w:lineRule="exact"/>
                    <w:rPr>
                      <w:rFonts w:cs="Miriam" w:hint="cs"/>
                      <w:noProof/>
                      <w:sz w:val="18"/>
                      <w:szCs w:val="18"/>
                      <w:rtl/>
                    </w:rPr>
                  </w:pPr>
                  <w:r>
                    <w:rPr>
                      <w:rFonts w:cs="Miriam" w:hint="cs"/>
                      <w:sz w:val="18"/>
                      <w:szCs w:val="18"/>
                      <w:rtl/>
                    </w:rPr>
                    <w:t>מתן תוקף לאמנה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מן המועיל הוא שיינתן תוקף לאמנה שנעשתה ביום ב' בכסלו התשס"ז (23 בנובמבר 2006), בין ממשלת מדינת ישראל לבין ממשלת הרפובליקה של מולדובה, בדבר מניעת מסי כפל ומניעת התחמקות בזיקה למסים על הכנסה ועל הון (להלן – האמנה).</w:t>
      </w:r>
    </w:p>
    <w:p w14:paraId="322E77FC" w14:textId="77777777" w:rsidR="00D1398C" w:rsidRDefault="00D1398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לאמנה יהיה תוקף בישראל לכל שנת מס, משנת המס המתחילה ביום כ"ג בטבת התשס"ח (1 בינואר 2008) ואילך.</w:t>
      </w:r>
    </w:p>
    <w:p w14:paraId="3BBDD384" w14:textId="77777777" w:rsidR="00D1398C" w:rsidRDefault="00D1398C">
      <w:pPr>
        <w:pStyle w:val="P00"/>
        <w:spacing w:before="72"/>
        <w:ind w:left="0" w:right="1134"/>
        <w:rPr>
          <w:rStyle w:val="default"/>
          <w:rFonts w:cs="FrankRuehl" w:hint="cs"/>
          <w:rtl/>
        </w:rPr>
      </w:pPr>
    </w:p>
    <w:p w14:paraId="7C68480A" w14:textId="77777777" w:rsidR="00D1398C" w:rsidRDefault="00D1398C">
      <w:pPr>
        <w:pStyle w:val="P00"/>
        <w:spacing w:before="72"/>
        <w:ind w:left="0" w:right="1134"/>
        <w:rPr>
          <w:rStyle w:val="default"/>
          <w:rFonts w:cs="FrankRuehl" w:hint="cs"/>
          <w:rtl/>
        </w:rPr>
      </w:pPr>
      <w:r>
        <w:rPr>
          <w:rStyle w:val="default"/>
          <w:rFonts w:cs="FrankRuehl" w:hint="cs"/>
          <w:rtl/>
        </w:rPr>
        <w:t>ז' באב התשס"ז (22 ביולי 2007)</w:t>
      </w:r>
    </w:p>
    <w:p w14:paraId="47A0A6B6" w14:textId="77777777" w:rsidR="00D1398C" w:rsidRDefault="00D1398C">
      <w:pPr>
        <w:pStyle w:val="sig-0"/>
        <w:tabs>
          <w:tab w:val="clear" w:pos="4820"/>
          <w:tab w:val="center" w:pos="5103"/>
        </w:tabs>
        <w:ind w:left="0" w:right="1134"/>
        <w:rPr>
          <w:rFonts w:cs="FrankRuehl" w:hint="cs"/>
          <w:sz w:val="26"/>
          <w:rtl/>
        </w:rPr>
      </w:pPr>
      <w:r>
        <w:rPr>
          <w:rFonts w:cs="FrankRuehl" w:hint="cs"/>
          <w:sz w:val="26"/>
          <w:rtl/>
        </w:rPr>
        <w:tab/>
        <w:t>רוני בר-און</w:t>
      </w:r>
    </w:p>
    <w:p w14:paraId="7928705A" w14:textId="77777777" w:rsidR="00D1398C" w:rsidRDefault="00D1398C">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1F6B1D8A" w14:textId="77777777" w:rsidR="00D1398C" w:rsidRDefault="00D1398C">
      <w:pPr>
        <w:pStyle w:val="sig-0"/>
        <w:tabs>
          <w:tab w:val="clear" w:pos="4820"/>
          <w:tab w:val="center" w:pos="5670"/>
        </w:tabs>
        <w:ind w:left="0" w:right="1134"/>
        <w:rPr>
          <w:rFonts w:cs="FrankRuehl" w:hint="cs"/>
          <w:sz w:val="26"/>
          <w:rtl/>
        </w:rPr>
      </w:pPr>
    </w:p>
    <w:p w14:paraId="6B58FFE3" w14:textId="77777777" w:rsidR="00D1398C" w:rsidRDefault="00D1398C">
      <w:pPr>
        <w:pStyle w:val="sig-0"/>
        <w:tabs>
          <w:tab w:val="clear" w:pos="4820"/>
          <w:tab w:val="center" w:pos="5670"/>
        </w:tabs>
        <w:ind w:left="0" w:right="1134"/>
        <w:rPr>
          <w:rFonts w:cs="FrankRuehl" w:hint="cs"/>
          <w:sz w:val="26"/>
          <w:rtl/>
        </w:rPr>
      </w:pPr>
    </w:p>
    <w:p w14:paraId="505D8F9D" w14:textId="77777777" w:rsidR="00D1398C" w:rsidRDefault="00D1398C">
      <w:pPr>
        <w:pStyle w:val="sig-0"/>
        <w:ind w:left="0" w:right="1134"/>
        <w:rPr>
          <w:rFonts w:cs="FrankRuehl"/>
          <w:sz w:val="26"/>
          <w:rtl/>
        </w:rPr>
      </w:pPr>
    </w:p>
    <w:sectPr w:rsidR="00D1398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032E" w14:textId="77777777" w:rsidR="005527C8" w:rsidRDefault="005527C8">
      <w:r>
        <w:separator/>
      </w:r>
    </w:p>
  </w:endnote>
  <w:endnote w:type="continuationSeparator" w:id="0">
    <w:p w14:paraId="45F0B025" w14:textId="77777777" w:rsidR="005527C8" w:rsidRDefault="0055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A68" w14:textId="77777777" w:rsidR="00D1398C" w:rsidRDefault="00D139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155D21" w14:textId="77777777" w:rsidR="00D1398C" w:rsidRDefault="00D139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A26A32" w14:textId="77777777" w:rsidR="00D1398C" w:rsidRDefault="00D139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Z:\000000000000-law\yael\07-08-30\table\999_812.doc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8F8A" w14:textId="77777777" w:rsidR="00D1398C" w:rsidRDefault="00D139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3E38">
      <w:rPr>
        <w:rFonts w:hAnsi="FrankRuehl" w:cs="FrankRuehl"/>
        <w:noProof/>
        <w:sz w:val="24"/>
        <w:szCs w:val="24"/>
        <w:rtl/>
      </w:rPr>
      <w:t>2</w:t>
    </w:r>
    <w:r>
      <w:rPr>
        <w:rFonts w:hAnsi="FrankRuehl" w:cs="FrankRuehl"/>
        <w:sz w:val="24"/>
        <w:szCs w:val="24"/>
        <w:rtl/>
      </w:rPr>
      <w:fldChar w:fldCharType="end"/>
    </w:r>
  </w:p>
  <w:p w14:paraId="02BD805F" w14:textId="77777777" w:rsidR="00D1398C" w:rsidRDefault="00D139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F26AD1" w14:textId="77777777" w:rsidR="00D1398C" w:rsidRDefault="00D139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Z:\000000000000-law\yael\07-08-30\table\999_812.doc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69F9" w14:textId="77777777" w:rsidR="005527C8" w:rsidRDefault="005527C8">
      <w:r>
        <w:separator/>
      </w:r>
    </w:p>
  </w:footnote>
  <w:footnote w:type="continuationSeparator" w:id="0">
    <w:p w14:paraId="750A9142" w14:textId="77777777" w:rsidR="005527C8" w:rsidRDefault="005527C8">
      <w:r>
        <w:continuationSeparator/>
      </w:r>
    </w:p>
  </w:footnote>
  <w:footnote w:id="1">
    <w:p w14:paraId="2DCEEDDA" w14:textId="77777777" w:rsidR="00D1398C" w:rsidRDefault="00D139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תשס"ז מס' 6610</w:t>
        </w:r>
      </w:hyperlink>
      <w:r>
        <w:rPr>
          <w:rFonts w:cs="FrankRuehl" w:hint="cs"/>
          <w:rtl/>
        </w:rPr>
        <w:t xml:space="preserve"> מיום 22.8.2007 עמ' 1112.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851C" w14:textId="77777777" w:rsidR="00D1398C" w:rsidRDefault="00D1398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A5D3168" w14:textId="77777777" w:rsidR="00D1398C" w:rsidRDefault="00D139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3D1908" w14:textId="77777777" w:rsidR="00D1398C" w:rsidRDefault="00D1398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0EA6" w14:textId="77777777" w:rsidR="00D1398C" w:rsidRDefault="00D1398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(מולדובה), תשס"ז-2007</w:t>
    </w:r>
  </w:p>
  <w:p w14:paraId="7F2FD263" w14:textId="77777777" w:rsidR="00D1398C" w:rsidRDefault="00D139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A7293B" w14:textId="77777777" w:rsidR="00D1398C" w:rsidRDefault="00D1398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3726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98C"/>
    <w:rsid w:val="00034A78"/>
    <w:rsid w:val="005527C8"/>
    <w:rsid w:val="009E4B57"/>
    <w:rsid w:val="00AC35EA"/>
    <w:rsid w:val="00B63E38"/>
    <w:rsid w:val="00D139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915EEAD"/>
  <w15:chartTrackingRefBased/>
  <w15:docId w15:val="{E8DD1791-C107-4D9E-ACD6-DDDA0EE3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704</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8257550</vt:i4>
      </vt:variant>
      <vt:variant>
        <vt:i4>0</vt:i4>
      </vt:variant>
      <vt:variant>
        <vt:i4>0</vt:i4>
      </vt:variant>
      <vt:variant>
        <vt:i4>5</vt:i4>
      </vt:variant>
      <vt:variant>
        <vt:lpwstr>http://www.nevo.co.il/Law_word/law06/tak-6610.pdf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(מולדובה), תשס"ז-2007</vt:lpwstr>
  </property>
  <property fmtid="{D5CDD505-2E9C-101B-9397-08002B2CF9AE}" pid="4" name="LAWNUMBER">
    <vt:lpwstr>0812</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http://www.nevo.co.il/Law_word/law06/tak-6610.pdf;רשומות - תקנות כלליות#פורסם ק"ת תשס"ז מס' 6610 #מיום 22.8.2007 עמ' 1112</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