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4E1" w:rsidRPr="0034680D" w:rsidRDefault="001704E1" w:rsidP="006B0A98">
      <w:pPr>
        <w:pStyle w:val="big-header"/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2F0AB8">
        <w:rPr>
          <w:rFonts w:cs="FrankRuehl" w:hint="cs"/>
          <w:rtl/>
        </w:rPr>
        <w:t>מקדוניה</w:t>
      </w:r>
      <w:r w:rsidR="00A50695">
        <w:rPr>
          <w:rFonts w:cs="FrankRuehl" w:hint="cs"/>
          <w:rtl/>
        </w:rPr>
        <w:t xml:space="preserve">), </w:t>
      </w:r>
      <w:r w:rsidR="00E81A37">
        <w:rPr>
          <w:rFonts w:cs="FrankRuehl" w:hint="cs"/>
          <w:rtl/>
        </w:rPr>
        <w:t>תשע"</w:t>
      </w:r>
      <w:r w:rsidR="007A0307"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>-201</w:t>
      </w:r>
      <w:r w:rsidR="002F0AB8">
        <w:rPr>
          <w:rFonts w:cs="FrankRuehl" w:hint="cs"/>
          <w:rtl/>
        </w:rPr>
        <w:t>9</w:t>
      </w:r>
    </w:p>
    <w:p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:rsidR="00D86F98" w:rsidRPr="0034680D" w:rsidRDefault="00D86F98" w:rsidP="00D86F98">
      <w:pPr>
        <w:spacing w:line="320" w:lineRule="auto"/>
        <w:rPr>
          <w:sz w:val="20"/>
          <w:rtl/>
        </w:rPr>
      </w:pPr>
    </w:p>
    <w:p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0223D" w:rsidRPr="0070223D" w:rsidTr="0070223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0223D" w:rsidRPr="0070223D" w:rsidRDefault="0070223D" w:rsidP="0070223D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0223D" w:rsidRPr="0070223D" w:rsidRDefault="0070223D" w:rsidP="0070223D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70223D" w:rsidRPr="0070223D" w:rsidRDefault="0070223D" w:rsidP="0070223D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70223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0223D" w:rsidRPr="0070223D" w:rsidRDefault="0070223D" w:rsidP="0070223D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:rsidR="00437214" w:rsidRPr="0034680D" w:rsidRDefault="001704E1" w:rsidP="006B0A98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9442A9">
        <w:rPr>
          <w:rFonts w:cs="FrankRuehl" w:hint="cs"/>
          <w:rtl/>
        </w:rPr>
        <w:t>מניעת מסי</w:t>
      </w:r>
      <w:r w:rsidR="009442A9" w:rsidRPr="0034680D">
        <w:rPr>
          <w:rFonts w:cs="FrankRuehl" w:hint="cs"/>
          <w:rtl/>
        </w:rPr>
        <w:t xml:space="preserve"> כפל) (</w:t>
      </w:r>
      <w:r w:rsidR="002F0AB8">
        <w:rPr>
          <w:rFonts w:cs="FrankRuehl" w:hint="cs"/>
          <w:rtl/>
        </w:rPr>
        <w:t>מקדוניה</w:t>
      </w:r>
      <w:r w:rsidR="009442A9">
        <w:rPr>
          <w:rFonts w:cs="FrankRuehl" w:hint="cs"/>
          <w:rtl/>
        </w:rPr>
        <w:t xml:space="preserve">), </w:t>
      </w:r>
      <w:r w:rsidR="00E81A37">
        <w:rPr>
          <w:rFonts w:cs="FrankRuehl" w:hint="cs"/>
          <w:rtl/>
        </w:rPr>
        <w:t>תשע"</w:t>
      </w:r>
      <w:r w:rsidR="007A0307"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>-201</w:t>
      </w:r>
      <w:r w:rsidR="002F0AB8">
        <w:rPr>
          <w:rFonts w:cs="FrankRuehl" w:hint="cs"/>
          <w:rtl/>
        </w:rPr>
        <w:t>9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:rsidR="00063D2D" w:rsidRDefault="00063D2D" w:rsidP="006B0A98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>
          <v:rect id="_x0000_s1026" style="position:absolute;left:0;text-align:left;margin-left:464.35pt;margin-top:7.1pt;width:75.05pt;height:13.95pt;z-index:251657728" o:allowincell="f" filled="f" stroked="f" strokecolor="lime" strokeweight=".25pt">
            <v:textbox inset="0,0,0,0">
              <w:txbxContent>
                <w:p w:rsidR="00063D2D" w:rsidRDefault="00063D2D" w:rsidP="002A28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81A37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E81A37">
        <w:rPr>
          <w:rStyle w:val="default"/>
          <w:rFonts w:cs="FrankRuehl" w:hint="cs"/>
          <w:sz w:val="20"/>
          <w:rtl/>
        </w:rPr>
        <w:t>(א)</w:t>
      </w:r>
      <w:r w:rsidR="00E81A37">
        <w:rPr>
          <w:rStyle w:val="default"/>
          <w:rFonts w:cs="FrankRuehl"/>
          <w:sz w:val="20"/>
          <w:rtl/>
        </w:rPr>
        <w:tab/>
      </w:r>
      <w:r w:rsidR="00E81A37">
        <w:rPr>
          <w:rStyle w:val="default"/>
          <w:rFonts w:cs="FrankRuehl" w:hint="cs"/>
          <w:sz w:val="20"/>
          <w:rtl/>
        </w:rPr>
        <w:t xml:space="preserve">מן המועיל הוא שיינתן תוקף להסכם שנעשה ביום </w:t>
      </w:r>
      <w:r w:rsidR="002F0AB8">
        <w:rPr>
          <w:rStyle w:val="default"/>
          <w:rFonts w:cs="FrankRuehl" w:hint="cs"/>
          <w:sz w:val="20"/>
          <w:rtl/>
        </w:rPr>
        <w:t>כ"ז בכסלו התשע"ו (9 בדצמבר 2015</w:t>
      </w:r>
      <w:r w:rsidR="00E81A37">
        <w:rPr>
          <w:rStyle w:val="default"/>
          <w:rFonts w:cs="FrankRuehl" w:hint="cs"/>
          <w:sz w:val="20"/>
          <w:rtl/>
        </w:rPr>
        <w:t xml:space="preserve">), בין ממשלת מדינת ישראל לבין </w:t>
      </w:r>
      <w:r w:rsidR="007A0307">
        <w:rPr>
          <w:rStyle w:val="default"/>
          <w:rFonts w:cs="FrankRuehl" w:hint="cs"/>
          <w:sz w:val="20"/>
          <w:rtl/>
        </w:rPr>
        <w:t xml:space="preserve">ממשלת </w:t>
      </w:r>
      <w:r w:rsidR="002F0AB8">
        <w:rPr>
          <w:rStyle w:val="default"/>
          <w:rFonts w:cs="FrankRuehl" w:hint="cs"/>
          <w:sz w:val="20"/>
          <w:rtl/>
        </w:rPr>
        <w:t>מקדוניה</w:t>
      </w:r>
      <w:r w:rsidR="00E81A37">
        <w:rPr>
          <w:rStyle w:val="default"/>
          <w:rFonts w:cs="FrankRuehl" w:hint="cs"/>
          <w:sz w:val="20"/>
          <w:rtl/>
        </w:rPr>
        <w:t xml:space="preserve"> בדבר מניעת כפל מס ומניעת התחמקות ממסים בזיקה למסים על הכנסה (להלן </w:t>
      </w:r>
      <w:r w:rsidR="00E81A37">
        <w:rPr>
          <w:rStyle w:val="default"/>
          <w:rFonts w:cs="FrankRuehl"/>
          <w:sz w:val="20"/>
          <w:rtl/>
        </w:rPr>
        <w:t>–</w:t>
      </w:r>
      <w:r w:rsidR="00E81A37">
        <w:rPr>
          <w:rStyle w:val="default"/>
          <w:rFonts w:cs="FrankRuehl" w:hint="cs"/>
          <w:sz w:val="20"/>
          <w:rtl/>
        </w:rPr>
        <w:t xml:space="preserve"> ההסכם)</w:t>
      </w:r>
      <w:r w:rsidR="00CF4C38">
        <w:rPr>
          <w:rStyle w:val="default"/>
          <w:rFonts w:cs="FrankRuehl" w:hint="cs"/>
          <w:sz w:val="20"/>
          <w:rtl/>
        </w:rPr>
        <w:t>.</w:t>
      </w:r>
    </w:p>
    <w:p w:rsidR="00E81A37" w:rsidRDefault="00E81A37" w:rsidP="006B0A98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 יהיה תוקף בישראל לכל שנת מס, החל בשנת המס המתחילה ביום כ"ד בטבת התשע"ט (1 בינואר 2019) ואילך.</w:t>
      </w:r>
    </w:p>
    <w:p w:rsidR="00063D2D" w:rsidRDefault="00063D2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E81A37" w:rsidRPr="0034680D" w:rsidRDefault="00E81A37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063D2D" w:rsidRPr="0034680D" w:rsidRDefault="002F0AB8" w:rsidP="002A28E2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י"ג באדר א'</w:t>
      </w:r>
      <w:r w:rsidR="006B0A98">
        <w:rPr>
          <w:rFonts w:cs="FrankRuehl" w:hint="cs"/>
          <w:rtl/>
        </w:rPr>
        <w:t xml:space="preserve"> </w:t>
      </w:r>
      <w:r w:rsidR="00E81A37">
        <w:rPr>
          <w:rFonts w:cs="FrankRuehl" w:hint="cs"/>
          <w:rtl/>
        </w:rPr>
        <w:t>התשע"</w:t>
      </w:r>
      <w:r w:rsidR="007A0307">
        <w:rPr>
          <w:rFonts w:cs="FrankRuehl" w:hint="cs"/>
          <w:rtl/>
        </w:rPr>
        <w:t>ט</w:t>
      </w:r>
      <w:r w:rsidR="00E81A37">
        <w:rPr>
          <w:rFonts w:cs="FrankRuehl" w:hint="cs"/>
          <w:rtl/>
        </w:rPr>
        <w:t xml:space="preserve"> (</w:t>
      </w:r>
      <w:r>
        <w:rPr>
          <w:rFonts w:cs="FrankRuehl" w:hint="cs"/>
          <w:rtl/>
        </w:rPr>
        <w:t>18 בפברואר</w:t>
      </w:r>
      <w:r w:rsidR="00E81A37">
        <w:rPr>
          <w:rFonts w:cs="FrankRuehl" w:hint="cs"/>
          <w:rtl/>
        </w:rPr>
        <w:t xml:space="preserve"> 201</w:t>
      </w:r>
      <w:r>
        <w:rPr>
          <w:rFonts w:cs="FrankRuehl" w:hint="cs"/>
          <w:rtl/>
        </w:rPr>
        <w:t>9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 w:rsidR="00E81A37">
        <w:rPr>
          <w:rFonts w:cs="FrankRuehl" w:hint="cs"/>
          <w:rtl/>
        </w:rPr>
        <w:t>משה כחלון</w:t>
      </w:r>
    </w:p>
    <w:p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:rsidR="002F0AB8" w:rsidRPr="0034680D" w:rsidRDefault="002F0AB8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:rsidR="0070223D" w:rsidRDefault="0070223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70223D" w:rsidRDefault="0070223D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:rsidR="0070223D" w:rsidRDefault="0070223D" w:rsidP="0070223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709D" w:rsidRPr="0070223D" w:rsidRDefault="009D709D" w:rsidP="0070223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9D709D" w:rsidRPr="0070223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0EF4" w:rsidRDefault="00C60EF4">
      <w:r>
        <w:separator/>
      </w:r>
    </w:p>
  </w:endnote>
  <w:endnote w:type="continuationSeparator" w:id="0">
    <w:p w:rsidR="00C60EF4" w:rsidRDefault="00C6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70223D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50747">
      <w:rPr>
        <w:rFonts w:cs="TopType Jerushalmi"/>
        <w:noProof/>
        <w:color w:val="000000"/>
        <w:sz w:val="14"/>
        <w:szCs w:val="14"/>
      </w:rPr>
      <w:t>Z:\000-law\yael\2015\2015-02-22\hak150217\255_621.doc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0EF4" w:rsidRDefault="00C60EF4" w:rsidP="00292CDB">
      <w:pPr>
        <w:spacing w:before="60"/>
        <w:ind w:right="1134"/>
      </w:pPr>
      <w:r>
        <w:separator/>
      </w:r>
    </w:p>
  </w:footnote>
  <w:footnote w:type="continuationSeparator" w:id="0">
    <w:p w:rsidR="00C60EF4" w:rsidRDefault="00C60EF4">
      <w:r>
        <w:continuationSeparator/>
      </w:r>
    </w:p>
  </w:footnote>
  <w:footnote w:id="1">
    <w:p w:rsidR="00755407" w:rsidRPr="00292CDB" w:rsidRDefault="00063D2D" w:rsidP="0075540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55407">
          <w:rPr>
            <w:rStyle w:val="Hyperlink"/>
            <w:rFonts w:cs="FrankRuehl" w:hint="cs"/>
            <w:rtl/>
          </w:rPr>
          <w:t>ק"ת תש</w:t>
        </w:r>
        <w:r w:rsidR="00E81A37" w:rsidRPr="00755407">
          <w:rPr>
            <w:rStyle w:val="Hyperlink"/>
            <w:rFonts w:cs="FrankRuehl" w:hint="cs"/>
            <w:rtl/>
          </w:rPr>
          <w:t>ע"</w:t>
        </w:r>
        <w:r w:rsidR="007A0307" w:rsidRPr="00755407">
          <w:rPr>
            <w:rStyle w:val="Hyperlink"/>
            <w:rFonts w:cs="FrankRuehl" w:hint="cs"/>
            <w:rtl/>
          </w:rPr>
          <w:t>ט</w:t>
        </w:r>
        <w:r w:rsidRPr="00755407">
          <w:rPr>
            <w:rStyle w:val="Hyperlink"/>
            <w:rFonts w:cs="FrankRuehl" w:hint="cs"/>
            <w:rtl/>
          </w:rPr>
          <w:t xml:space="preserve"> מס' </w:t>
        </w:r>
        <w:r w:rsidR="002F0AB8" w:rsidRPr="00755407">
          <w:rPr>
            <w:rStyle w:val="Hyperlink"/>
            <w:rFonts w:cs="FrankRuehl" w:hint="cs"/>
            <w:rtl/>
          </w:rPr>
          <w:t>8225</w:t>
        </w:r>
      </w:hyperlink>
      <w:r>
        <w:rPr>
          <w:rFonts w:cs="FrankRuehl" w:hint="cs"/>
          <w:rtl/>
        </w:rPr>
        <w:t xml:space="preserve"> מיום </w:t>
      </w:r>
      <w:r w:rsidR="002F0AB8">
        <w:rPr>
          <w:rFonts w:cs="FrankRuehl" w:hint="cs"/>
          <w:rtl/>
        </w:rPr>
        <w:t>27.5.2019</w:t>
      </w:r>
      <w:r>
        <w:rPr>
          <w:rFonts w:cs="FrankRuehl" w:hint="cs"/>
          <w:rtl/>
        </w:rPr>
        <w:t xml:space="preserve"> עמ' </w:t>
      </w:r>
      <w:r w:rsidR="002F0AB8">
        <w:rPr>
          <w:rFonts w:cs="FrankRuehl" w:hint="cs"/>
          <w:rtl/>
        </w:rPr>
        <w:t>3261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2D" w:rsidRDefault="00063D2D" w:rsidP="006B0A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9442A9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2F0AB8">
      <w:rPr>
        <w:rFonts w:hAnsi="FrankRuehl" w:cs="FrankRuehl" w:hint="cs"/>
        <w:color w:val="000000"/>
        <w:sz w:val="28"/>
        <w:szCs w:val="28"/>
        <w:rtl/>
      </w:rPr>
      <w:t>מקדוניה</w:t>
    </w:r>
    <w:r w:rsidR="00A50695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E81A37">
      <w:rPr>
        <w:rFonts w:hAnsi="FrankRuehl" w:cs="FrankRuehl" w:hint="cs"/>
        <w:color w:val="000000"/>
        <w:sz w:val="28"/>
        <w:szCs w:val="28"/>
        <w:rtl/>
      </w:rPr>
      <w:t>תשע"</w:t>
    </w:r>
    <w:r w:rsidR="007A0307">
      <w:rPr>
        <w:rFonts w:hAnsi="FrankRuehl" w:cs="FrankRuehl" w:hint="cs"/>
        <w:color w:val="000000"/>
        <w:sz w:val="28"/>
        <w:szCs w:val="28"/>
        <w:rtl/>
      </w:rPr>
      <w:t>ט</w:t>
    </w:r>
    <w:r w:rsidR="00E81A37">
      <w:rPr>
        <w:rFonts w:hAnsi="FrankRuehl" w:cs="FrankRuehl" w:hint="cs"/>
        <w:color w:val="000000"/>
        <w:sz w:val="28"/>
        <w:szCs w:val="28"/>
        <w:rtl/>
      </w:rPr>
      <w:t>-201</w:t>
    </w:r>
    <w:r w:rsidR="002F0AB8">
      <w:rPr>
        <w:rFonts w:hAnsi="FrankRuehl" w:cs="FrankRuehl" w:hint="cs"/>
        <w:color w:val="000000"/>
        <w:sz w:val="28"/>
        <w:szCs w:val="28"/>
        <w:rtl/>
      </w:rPr>
      <w:t>9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704E1"/>
    <w:rsid w:val="00252CD5"/>
    <w:rsid w:val="0026662B"/>
    <w:rsid w:val="00292CDB"/>
    <w:rsid w:val="002A28E2"/>
    <w:rsid w:val="002F0AB8"/>
    <w:rsid w:val="0034680D"/>
    <w:rsid w:val="00360072"/>
    <w:rsid w:val="003B6FAD"/>
    <w:rsid w:val="003F1C64"/>
    <w:rsid w:val="00437214"/>
    <w:rsid w:val="004623A5"/>
    <w:rsid w:val="0049446F"/>
    <w:rsid w:val="004E6566"/>
    <w:rsid w:val="005016AF"/>
    <w:rsid w:val="0054306C"/>
    <w:rsid w:val="005B2F04"/>
    <w:rsid w:val="005B3747"/>
    <w:rsid w:val="005C58A4"/>
    <w:rsid w:val="00615FDA"/>
    <w:rsid w:val="0061681D"/>
    <w:rsid w:val="006300EA"/>
    <w:rsid w:val="00643058"/>
    <w:rsid w:val="00666A54"/>
    <w:rsid w:val="00686E79"/>
    <w:rsid w:val="006B0A98"/>
    <w:rsid w:val="006C4FB1"/>
    <w:rsid w:val="006F2B2E"/>
    <w:rsid w:val="006F5829"/>
    <w:rsid w:val="0070223D"/>
    <w:rsid w:val="0072537F"/>
    <w:rsid w:val="00752CC1"/>
    <w:rsid w:val="00755407"/>
    <w:rsid w:val="0076050A"/>
    <w:rsid w:val="007838C0"/>
    <w:rsid w:val="007A0307"/>
    <w:rsid w:val="007B637C"/>
    <w:rsid w:val="007C058C"/>
    <w:rsid w:val="007C4148"/>
    <w:rsid w:val="007D3036"/>
    <w:rsid w:val="007E16DA"/>
    <w:rsid w:val="00850747"/>
    <w:rsid w:val="009442A9"/>
    <w:rsid w:val="009B2C28"/>
    <w:rsid w:val="009D709D"/>
    <w:rsid w:val="009E09FF"/>
    <w:rsid w:val="00A026E6"/>
    <w:rsid w:val="00A37767"/>
    <w:rsid w:val="00A50695"/>
    <w:rsid w:val="00A80CF9"/>
    <w:rsid w:val="00A933B5"/>
    <w:rsid w:val="00B41642"/>
    <w:rsid w:val="00B917DC"/>
    <w:rsid w:val="00BC7904"/>
    <w:rsid w:val="00BF555D"/>
    <w:rsid w:val="00C42506"/>
    <w:rsid w:val="00C444D0"/>
    <w:rsid w:val="00C45BC7"/>
    <w:rsid w:val="00C60EF4"/>
    <w:rsid w:val="00CD275C"/>
    <w:rsid w:val="00CF4C38"/>
    <w:rsid w:val="00D64D58"/>
    <w:rsid w:val="00D83BE9"/>
    <w:rsid w:val="00D86F98"/>
    <w:rsid w:val="00E81A37"/>
    <w:rsid w:val="00E95D59"/>
    <w:rsid w:val="00F0719C"/>
    <w:rsid w:val="00F525D7"/>
    <w:rsid w:val="00FD1982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50E3DE-963C-4FF0-8E2D-C673D575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840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(מקדוניה), תשע"ט-2019</vt:lpwstr>
  </property>
  <property fmtid="{D5CDD505-2E9C-101B-9397-08002B2CF9AE}" pid="5" name="LAWNUMBER">
    <vt:lpwstr>0132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84255</vt:lpwstr>
  </property>
  <property fmtid="{D5CDD505-2E9C-101B-9397-08002B2CF9AE}" pid="65" name="LINKK1">
    <vt:lpwstr>http://www.nevo.co.il/Law_word/law06/tak-8225.pdf;‎רשומות - תקנות כלליות#פורסם ק"ת תשע"ט ‏מס' 8225 #מיום 27.5.2019 עמ' 3261‏</vt:lpwstr>
  </property>
</Properties>
</file>