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3761" w14:textId="77777777" w:rsidR="001112A4" w:rsidRDefault="001112A4" w:rsidP="00BA73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(פטור כללי ממס על מילווה במטבע חוץ שמקבלת המדינה), תשנ"א</w:t>
      </w:r>
      <w:r w:rsidR="00BA733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</w:p>
    <w:p w14:paraId="7C1E2B46" w14:textId="77777777" w:rsidR="00BA733A" w:rsidRDefault="00BA733A" w:rsidP="00BA733A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BA733A">
        <w:rPr>
          <w:rFonts w:cs="FrankRuehl" w:hint="cs"/>
          <w:color w:val="008000"/>
          <w:sz w:val="32"/>
          <w:rtl/>
        </w:rPr>
        <w:t>רבדים בחקיקה</w:t>
      </w:r>
    </w:p>
    <w:p w14:paraId="2C6F0E9F" w14:textId="77777777" w:rsidR="00066DBD" w:rsidRPr="00066DBD" w:rsidRDefault="00066DBD" w:rsidP="00066DBD">
      <w:pPr>
        <w:spacing w:line="320" w:lineRule="auto"/>
        <w:rPr>
          <w:rFonts w:cs="FrankRuehl"/>
          <w:szCs w:val="26"/>
          <w:rtl/>
        </w:rPr>
      </w:pPr>
    </w:p>
    <w:p w14:paraId="3B90BCB5" w14:textId="77777777" w:rsidR="00066DBD" w:rsidRDefault="00066DBD" w:rsidP="00066DBD">
      <w:pPr>
        <w:spacing w:line="320" w:lineRule="auto"/>
        <w:rPr>
          <w:rtl/>
        </w:rPr>
      </w:pPr>
    </w:p>
    <w:p w14:paraId="3AA44884" w14:textId="77777777" w:rsidR="00066DBD" w:rsidRDefault="00066DBD" w:rsidP="00066DBD">
      <w:pPr>
        <w:spacing w:line="320" w:lineRule="auto"/>
        <w:rPr>
          <w:rFonts w:cs="FrankRuehl"/>
          <w:szCs w:val="26"/>
          <w:rtl/>
        </w:rPr>
      </w:pPr>
      <w:r w:rsidRPr="00066DBD">
        <w:rPr>
          <w:rFonts w:cs="Miriam"/>
          <w:szCs w:val="22"/>
          <w:rtl/>
        </w:rPr>
        <w:t>מסים</w:t>
      </w:r>
      <w:r w:rsidRPr="00066DBD">
        <w:rPr>
          <w:rFonts w:cs="FrankRuehl"/>
          <w:szCs w:val="26"/>
          <w:rtl/>
        </w:rPr>
        <w:t xml:space="preserve"> – מס הכנסה – פטור ממס: כללי</w:t>
      </w:r>
    </w:p>
    <w:p w14:paraId="4B7EC4D9" w14:textId="77777777" w:rsidR="00066DBD" w:rsidRDefault="00066DBD" w:rsidP="00066DBD">
      <w:pPr>
        <w:spacing w:line="320" w:lineRule="auto"/>
        <w:rPr>
          <w:rFonts w:cs="FrankRuehl"/>
          <w:szCs w:val="26"/>
          <w:rtl/>
        </w:rPr>
      </w:pPr>
      <w:r w:rsidRPr="00066DBD">
        <w:rPr>
          <w:rFonts w:cs="Miriam"/>
          <w:szCs w:val="22"/>
          <w:rtl/>
        </w:rPr>
        <w:t>מסים</w:t>
      </w:r>
      <w:r w:rsidRPr="00066DBD">
        <w:rPr>
          <w:rFonts w:cs="FrankRuehl"/>
          <w:szCs w:val="26"/>
          <w:rtl/>
        </w:rPr>
        <w:t xml:space="preserve"> – מילווים</w:t>
      </w:r>
    </w:p>
    <w:p w14:paraId="59528AF4" w14:textId="77777777" w:rsidR="00066DBD" w:rsidRDefault="00066DBD" w:rsidP="00066DBD">
      <w:pPr>
        <w:spacing w:line="320" w:lineRule="auto"/>
        <w:rPr>
          <w:rFonts w:cs="FrankRuehl"/>
          <w:szCs w:val="26"/>
          <w:rtl/>
        </w:rPr>
      </w:pPr>
      <w:r w:rsidRPr="00066DBD">
        <w:rPr>
          <w:rFonts w:cs="Miriam"/>
          <w:szCs w:val="22"/>
          <w:rtl/>
        </w:rPr>
        <w:t>משפט פרטי וכלכלה</w:t>
      </w:r>
      <w:r w:rsidRPr="00066DBD">
        <w:rPr>
          <w:rFonts w:cs="FrankRuehl"/>
          <w:szCs w:val="26"/>
          <w:rtl/>
        </w:rPr>
        <w:t xml:space="preserve"> – כספים – מטבע – מטבע חוץ</w:t>
      </w:r>
    </w:p>
    <w:p w14:paraId="4EA98F7A" w14:textId="77777777" w:rsidR="00066DBD" w:rsidRDefault="00066DBD" w:rsidP="00066DBD">
      <w:pPr>
        <w:spacing w:line="320" w:lineRule="auto"/>
        <w:rPr>
          <w:rFonts w:cs="FrankRuehl"/>
          <w:szCs w:val="26"/>
          <w:rtl/>
        </w:rPr>
      </w:pPr>
      <w:r w:rsidRPr="00066DBD">
        <w:rPr>
          <w:rFonts w:cs="Miriam"/>
          <w:szCs w:val="22"/>
          <w:rtl/>
        </w:rPr>
        <w:t>משפט פרטי וכלכלה</w:t>
      </w:r>
      <w:r w:rsidRPr="00066DBD">
        <w:rPr>
          <w:rFonts w:cs="FrankRuehl"/>
          <w:szCs w:val="26"/>
          <w:rtl/>
        </w:rPr>
        <w:t xml:space="preserve"> – כספים – מילווים</w:t>
      </w:r>
    </w:p>
    <w:p w14:paraId="59F2172E" w14:textId="77777777" w:rsidR="009103C3" w:rsidRPr="00066DBD" w:rsidRDefault="00066DBD" w:rsidP="00066DBD">
      <w:pPr>
        <w:spacing w:line="320" w:lineRule="auto"/>
        <w:rPr>
          <w:rFonts w:cs="Miriam"/>
          <w:szCs w:val="22"/>
          <w:rtl/>
        </w:rPr>
      </w:pPr>
      <w:r w:rsidRPr="00066DBD">
        <w:rPr>
          <w:rFonts w:cs="Miriam"/>
          <w:szCs w:val="22"/>
          <w:rtl/>
        </w:rPr>
        <w:t>מסים</w:t>
      </w:r>
      <w:r w:rsidRPr="00066DBD">
        <w:rPr>
          <w:rFonts w:cs="FrankRuehl"/>
          <w:szCs w:val="26"/>
          <w:rtl/>
        </w:rPr>
        <w:t xml:space="preserve"> – מס הכנסה – פטור ממס: ריבית והצ' – מילווה</w:t>
      </w:r>
    </w:p>
    <w:p w14:paraId="37703413" w14:textId="77777777" w:rsidR="00893929" w:rsidRDefault="00893929" w:rsidP="00893929">
      <w:pPr>
        <w:spacing w:line="320" w:lineRule="auto"/>
        <w:rPr>
          <w:rtl/>
        </w:rPr>
      </w:pPr>
    </w:p>
    <w:p w14:paraId="668A9A1C" w14:textId="77777777" w:rsidR="001112A4" w:rsidRDefault="001112A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112A4" w14:paraId="5C07A17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4722E0" w14:textId="77777777" w:rsidR="001112A4" w:rsidRDefault="001112A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A733A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A11CB22" w14:textId="77777777" w:rsidR="001112A4" w:rsidRDefault="001112A4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AAB696" w14:textId="77777777" w:rsidR="001112A4" w:rsidRDefault="001112A4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4B2B6D29" w14:textId="77777777" w:rsidR="001112A4" w:rsidRDefault="001112A4">
            <w:r>
              <w:rPr>
                <w:rtl/>
              </w:rPr>
              <w:t xml:space="preserve">סעיף 1 </w:t>
            </w:r>
          </w:p>
        </w:tc>
      </w:tr>
      <w:tr w:rsidR="001112A4" w14:paraId="458777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CA8828" w14:textId="77777777" w:rsidR="001112A4" w:rsidRDefault="001112A4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A733A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3D64146" w14:textId="77777777" w:rsidR="001112A4" w:rsidRDefault="001112A4">
            <w:hyperlink w:anchor="Seif1" w:tooltip="פטור ממס צו תשנח 1998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92CCA2" w14:textId="77777777" w:rsidR="001112A4" w:rsidRDefault="001112A4">
            <w:pPr>
              <w:rPr>
                <w:rtl/>
              </w:rPr>
            </w:pPr>
            <w:r>
              <w:rPr>
                <w:rtl/>
              </w:rPr>
              <w:t>פטור ממס צו תשנח 1998*</w:t>
            </w:r>
          </w:p>
        </w:tc>
        <w:tc>
          <w:tcPr>
            <w:tcW w:w="1247" w:type="dxa"/>
          </w:tcPr>
          <w:p w14:paraId="23C13127" w14:textId="77777777" w:rsidR="001112A4" w:rsidRDefault="001112A4">
            <w:r>
              <w:rPr>
                <w:rtl/>
              </w:rPr>
              <w:t xml:space="preserve">סעיף 2 </w:t>
            </w:r>
          </w:p>
        </w:tc>
      </w:tr>
    </w:tbl>
    <w:p w14:paraId="790F2DAE" w14:textId="77777777" w:rsidR="001112A4" w:rsidRDefault="001112A4">
      <w:pPr>
        <w:pStyle w:val="big-header"/>
        <w:ind w:left="0" w:right="1134"/>
        <w:rPr>
          <w:rFonts w:cs="FrankRuehl"/>
          <w:sz w:val="32"/>
          <w:rtl/>
        </w:rPr>
      </w:pPr>
    </w:p>
    <w:p w14:paraId="565873D5" w14:textId="77777777" w:rsidR="001112A4" w:rsidRPr="009103C3" w:rsidRDefault="001112A4" w:rsidP="009103C3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(פטור כללי ממס על מילווה במטבע חוץ שמקבלת המדינה), תשנ"א</w:t>
      </w:r>
      <w:r w:rsidR="00BA733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  <w:r w:rsidR="00BA733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A608387" w14:textId="77777777" w:rsidR="001112A4" w:rsidRPr="0054381C" w:rsidRDefault="001112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4381C">
        <w:rPr>
          <w:rFonts w:cs="FrankRuehl"/>
          <w:sz w:val="26"/>
          <w:rtl/>
        </w:rPr>
        <w:tab/>
      </w:r>
      <w:r w:rsidRPr="0054381C">
        <w:rPr>
          <w:rStyle w:val="default"/>
          <w:rFonts w:cs="FrankRuehl"/>
          <w:rtl/>
        </w:rPr>
        <w:t>בתוקף סמכותי לפי סעיף 15 לפקודת מס הכנסה, ובאישור ועדת הכספים של הכנסת, אני מצווה לאמור:</w:t>
      </w:r>
    </w:p>
    <w:p w14:paraId="03A2A105" w14:textId="77777777" w:rsidR="001112A4" w:rsidRDefault="00111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BA733A">
        <w:rPr>
          <w:rFonts w:cs="Miriam"/>
          <w:lang w:val="he-IL"/>
        </w:rPr>
        <w:pict w14:anchorId="0D593012">
          <v:rect id="_x0000_s1026" style="position:absolute;left:0;text-align:left;margin-left:464.5pt;margin-top:8.05pt;width:75.05pt;height:16.2pt;z-index:251657216" o:allowincell="f" filled="f" stroked="f" strokecolor="lime" strokeweight=".25pt">
            <v:textbox inset="0,0,0,0">
              <w:txbxContent>
                <w:p w14:paraId="5E4DCC42" w14:textId="77777777" w:rsidR="001112A4" w:rsidRDefault="001112A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BA733A">
        <w:rPr>
          <w:rStyle w:val="big-number"/>
          <w:rFonts w:cs="Miriam"/>
          <w:rtl/>
        </w:rPr>
        <w:t>1</w:t>
      </w:r>
      <w:r w:rsidRPr="00BA733A">
        <w:rPr>
          <w:rStyle w:val="big-number"/>
          <w:rFonts w:cs="FrankRuehl"/>
          <w:sz w:val="26"/>
          <w:szCs w:val="26"/>
          <w:rtl/>
        </w:rPr>
        <w:t>.</w:t>
      </w:r>
      <w:r w:rsidRPr="00BA733A">
        <w:rPr>
          <w:rStyle w:val="big-number"/>
          <w:rFonts w:cs="FrankRuehl"/>
          <w:sz w:val="26"/>
          <w:szCs w:val="26"/>
          <w:rtl/>
        </w:rPr>
        <w:tab/>
      </w:r>
      <w:r w:rsidR="00BA733A">
        <w:rPr>
          <w:rStyle w:val="default"/>
          <w:rFonts w:cs="FrankRuehl"/>
          <w:rtl/>
        </w:rPr>
        <w:t>בצו זה –</w:t>
      </w:r>
    </w:p>
    <w:p w14:paraId="11080187" w14:textId="77777777" w:rsidR="001112A4" w:rsidRPr="0054381C" w:rsidRDefault="001112A4" w:rsidP="00BA73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54381C">
        <w:rPr>
          <w:rFonts w:cs="FrankRuehl"/>
          <w:sz w:val="26"/>
          <w:rtl/>
        </w:rPr>
        <w:tab/>
      </w:r>
      <w:r w:rsidRPr="0054381C">
        <w:rPr>
          <w:rStyle w:val="default"/>
          <w:rFonts w:cs="FrankRuehl"/>
          <w:rtl/>
        </w:rPr>
        <w:t xml:space="preserve">"מילווה" </w:t>
      </w:r>
      <w:r w:rsidR="00BA733A">
        <w:rPr>
          <w:rStyle w:val="default"/>
          <w:rFonts w:cs="FrankRuehl" w:hint="cs"/>
          <w:rtl/>
        </w:rPr>
        <w:t>-</w:t>
      </w:r>
      <w:r w:rsidRPr="0054381C">
        <w:rPr>
          <w:rStyle w:val="default"/>
          <w:rFonts w:cs="FrankRuehl"/>
          <w:rtl/>
        </w:rPr>
        <w:t xml:space="preserve"> כל הלוואה או פיקדון במטבע חוץ שקיבלה המדינה מתושב חוץ.</w:t>
      </w:r>
    </w:p>
    <w:p w14:paraId="7B2F612B" w14:textId="77777777" w:rsidR="001112A4" w:rsidRDefault="001112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 w:rsidRPr="00BA733A">
        <w:rPr>
          <w:rFonts w:cs="Miriam"/>
          <w:lang w:val="he-IL"/>
        </w:rPr>
        <w:pict w14:anchorId="3195EC1F">
          <v:rect id="_x0000_s1027" style="position:absolute;left:0;text-align:left;margin-left:464.5pt;margin-top:8.05pt;width:75.05pt;height:23.05pt;z-index:251658240" o:allowincell="f" filled="f" stroked="f" strokecolor="lime" strokeweight=".25pt">
            <v:textbox style="mso-next-textbox:#_x0000_s1027" inset="0,0,0,0">
              <w:txbxContent>
                <w:p w14:paraId="011CB961" w14:textId="77777777" w:rsidR="001112A4" w:rsidRDefault="001112A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</w:t>
                  </w:r>
                </w:p>
                <w:p w14:paraId="460063A1" w14:textId="77777777" w:rsidR="001112A4" w:rsidRDefault="001112A4" w:rsidP="00BA733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תשנ"ח</w:t>
                  </w:r>
                  <w:r w:rsidR="00BA733A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BA733A">
                    <w:rPr>
                      <w:rFonts w:cs="Miriam"/>
                      <w:sz w:val="18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 w:rsidRPr="00BA733A">
        <w:rPr>
          <w:rStyle w:val="big-number"/>
          <w:rFonts w:cs="Miriam"/>
          <w:rtl/>
        </w:rPr>
        <w:t>2</w:t>
      </w:r>
      <w:r w:rsidRPr="00BA733A">
        <w:rPr>
          <w:rStyle w:val="big-number"/>
          <w:rFonts w:cs="FrankRuehl"/>
          <w:sz w:val="26"/>
          <w:szCs w:val="26"/>
          <w:rtl/>
        </w:rPr>
        <w:t>.</w:t>
      </w:r>
      <w:r w:rsidRPr="00BA733A">
        <w:rPr>
          <w:rStyle w:val="big-number"/>
          <w:rFonts w:cs="FrankRuehl"/>
          <w:sz w:val="26"/>
          <w:szCs w:val="26"/>
          <w:rtl/>
        </w:rPr>
        <w:tab/>
      </w:r>
      <w:r w:rsidRPr="0054381C">
        <w:rPr>
          <w:rStyle w:val="default"/>
          <w:rFonts w:cs="FrankRuehl"/>
          <w:rtl/>
        </w:rPr>
        <w:t>הכנסה מריבית והפרשי הצמדה על מילווה שמשלמת המדינה לתושב חוץ או למי שהיה תושב חוץ כאשר נתן את המילווה, פטורה ממס.</w:t>
      </w:r>
    </w:p>
    <w:p w14:paraId="63AFB99C" w14:textId="77777777" w:rsidR="0054381C" w:rsidRPr="006C638A" w:rsidRDefault="0054381C" w:rsidP="0054381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5"/>
      <w:r w:rsidRPr="006C638A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5.3.1998</w:t>
      </w:r>
    </w:p>
    <w:p w14:paraId="677093C6" w14:textId="77777777" w:rsidR="0054381C" w:rsidRPr="006C638A" w:rsidRDefault="0054381C" w:rsidP="0054381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C638A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תשנ"ח-1998</w:t>
      </w:r>
    </w:p>
    <w:p w14:paraId="64E207AB" w14:textId="77777777" w:rsidR="0054381C" w:rsidRPr="006C638A" w:rsidRDefault="0054381C" w:rsidP="0054381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C638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5885</w:t>
        </w:r>
      </w:hyperlink>
      <w:r w:rsidRPr="006C638A">
        <w:rPr>
          <w:rFonts w:cs="FrankRuehl" w:hint="cs"/>
          <w:vanish/>
          <w:szCs w:val="20"/>
          <w:shd w:val="clear" w:color="auto" w:fill="FFFF99"/>
          <w:rtl/>
        </w:rPr>
        <w:t xml:space="preserve"> מיום 5.3.1998 עמ' 486</w:t>
      </w:r>
    </w:p>
    <w:p w14:paraId="4E4D04CF" w14:textId="77777777" w:rsidR="0054381C" w:rsidRPr="006C638A" w:rsidRDefault="0054381C" w:rsidP="0054381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C638A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2</w:t>
      </w:r>
    </w:p>
    <w:p w14:paraId="7BBE634B" w14:textId="77777777" w:rsidR="0054381C" w:rsidRPr="006C638A" w:rsidRDefault="0054381C" w:rsidP="0054381C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C638A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51F43C3D" w14:textId="77777777" w:rsidR="0054381C" w:rsidRPr="0054381C" w:rsidRDefault="0054381C" w:rsidP="0054381C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6C638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6C638A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הכנסה מריבית והפרשי הצמדה שמשלמת המדינה על מילווה פטורה ממס.</w:t>
      </w:r>
      <w:bookmarkEnd w:id="2"/>
    </w:p>
    <w:p w14:paraId="21B7E414" w14:textId="77777777" w:rsidR="0054381C" w:rsidRPr="0054381C" w:rsidRDefault="005438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B586AB" w14:textId="77777777" w:rsidR="001112A4" w:rsidRPr="0054381C" w:rsidRDefault="001112A4" w:rsidP="00BA73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FC18D4" w14:textId="77777777" w:rsidR="001112A4" w:rsidRPr="0054381C" w:rsidRDefault="001112A4">
      <w:pPr>
        <w:pStyle w:val="sig-1"/>
        <w:widowControl/>
        <w:ind w:left="0" w:right="1134"/>
        <w:rPr>
          <w:rStyle w:val="default"/>
          <w:rFonts w:cs="FrankRuehl"/>
          <w:rtl/>
        </w:rPr>
      </w:pPr>
      <w:r w:rsidRPr="0054381C">
        <w:rPr>
          <w:rStyle w:val="default"/>
          <w:rFonts w:cs="FrankRuehl"/>
          <w:rtl/>
        </w:rPr>
        <w:t>כ"ט בטבת תשנ"א (15 בינואר 1991)</w:t>
      </w:r>
      <w:r w:rsidRPr="0054381C">
        <w:rPr>
          <w:rStyle w:val="default"/>
          <w:rFonts w:cs="FrankRuehl"/>
          <w:rtl/>
        </w:rPr>
        <w:tab/>
        <w:t>יצחק מודעי</w:t>
      </w:r>
    </w:p>
    <w:p w14:paraId="0E51342B" w14:textId="77777777" w:rsidR="001112A4" w:rsidRDefault="001112A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5C4AFD1B" w14:textId="77777777" w:rsidR="0054381C" w:rsidRPr="00BA733A" w:rsidRDefault="0054381C" w:rsidP="005438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DCEA72" w14:textId="77777777" w:rsidR="00BA733A" w:rsidRPr="00BA733A" w:rsidRDefault="00BA733A" w:rsidP="005438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1AF800" w14:textId="77777777" w:rsidR="001112A4" w:rsidRPr="00BA733A" w:rsidRDefault="001112A4" w:rsidP="00BA73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EA8D0A5" w14:textId="77777777" w:rsidR="001112A4" w:rsidRPr="00BA733A" w:rsidRDefault="001112A4" w:rsidP="00BA73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112A4" w:rsidRPr="00BA733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201C" w14:textId="77777777" w:rsidR="00842ACF" w:rsidRDefault="00842ACF">
      <w:r>
        <w:separator/>
      </w:r>
    </w:p>
  </w:endnote>
  <w:endnote w:type="continuationSeparator" w:id="0">
    <w:p w14:paraId="4D563C0D" w14:textId="77777777" w:rsidR="00842ACF" w:rsidRDefault="0084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DCF9" w14:textId="77777777" w:rsidR="001112A4" w:rsidRDefault="001112A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28010E0E" w14:textId="77777777" w:rsidR="001112A4" w:rsidRDefault="001112A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850182" w14:textId="77777777" w:rsidR="001112A4" w:rsidRDefault="001112A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733A">
      <w:rPr>
        <w:rFonts w:cs="TopType Jerushalmi"/>
        <w:noProof/>
        <w:color w:val="000000"/>
        <w:sz w:val="14"/>
        <w:szCs w:val="14"/>
      </w:rPr>
      <w:t>C:\Yael\hakika\Revadim\255_326.doc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94C7" w14:textId="77777777" w:rsidR="001112A4" w:rsidRDefault="001112A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066DBD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6F938C27" w14:textId="77777777" w:rsidR="001112A4" w:rsidRDefault="001112A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74A9BC" w14:textId="77777777" w:rsidR="001112A4" w:rsidRDefault="001112A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A733A">
      <w:rPr>
        <w:rFonts w:cs="TopType Jerushalmi"/>
        <w:noProof/>
        <w:color w:val="000000"/>
        <w:sz w:val="14"/>
        <w:szCs w:val="14"/>
      </w:rPr>
      <w:t>C:\Yael\hakika\Revadim\255_326.doc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22F9" w14:textId="77777777" w:rsidR="00842ACF" w:rsidRDefault="00842ACF" w:rsidP="00BA733A">
      <w:pPr>
        <w:spacing w:before="60"/>
        <w:ind w:right="1134"/>
      </w:pPr>
      <w:r>
        <w:separator/>
      </w:r>
    </w:p>
  </w:footnote>
  <w:footnote w:type="continuationSeparator" w:id="0">
    <w:p w14:paraId="3F89F57F" w14:textId="77777777" w:rsidR="00842ACF" w:rsidRDefault="00842ACF">
      <w:r>
        <w:continuationSeparator/>
      </w:r>
    </w:p>
  </w:footnote>
  <w:footnote w:id="1">
    <w:p w14:paraId="6F9DE68D" w14:textId="77777777" w:rsidR="00BA733A" w:rsidRPr="00BA733A" w:rsidRDefault="00BA733A" w:rsidP="00BA733A">
      <w:pPr>
        <w:pStyle w:val="P00"/>
        <w:spacing w:before="72"/>
        <w:ind w:left="0" w:right="1134"/>
        <w:rPr>
          <w:rFonts w:cs="FrankRuehl"/>
          <w:sz w:val="22"/>
          <w:szCs w:val="22"/>
          <w:rtl/>
        </w:rPr>
      </w:pPr>
      <w:r w:rsidRPr="00BA733A">
        <w:rPr>
          <w:rFonts w:cs="FrankRuehl"/>
          <w:sz w:val="22"/>
          <w:szCs w:val="22"/>
          <w:rtl/>
        </w:rPr>
        <w:t xml:space="preserve">* </w:t>
      </w:r>
      <w:r w:rsidRPr="00BA733A">
        <w:rPr>
          <w:rFonts w:cs="FrankRuehl" w:hint="cs"/>
          <w:sz w:val="22"/>
          <w:szCs w:val="22"/>
          <w:rtl/>
        </w:rPr>
        <w:t xml:space="preserve">פורסמו </w:t>
      </w:r>
      <w:hyperlink r:id="rId1" w:history="1">
        <w:r w:rsidRPr="00BA733A">
          <w:rPr>
            <w:rStyle w:val="Hyperlink"/>
            <w:rFonts w:cs="FrankRuehl"/>
            <w:sz w:val="22"/>
            <w:szCs w:val="22"/>
            <w:rtl/>
          </w:rPr>
          <w:t>ק"ת</w:t>
        </w:r>
        <w:r w:rsidRPr="00BA733A">
          <w:rPr>
            <w:rStyle w:val="Hyperlink"/>
            <w:rFonts w:cs="FrankRuehl" w:hint="cs"/>
            <w:sz w:val="22"/>
            <w:szCs w:val="22"/>
            <w:rtl/>
          </w:rPr>
          <w:t xml:space="preserve"> תש</w:t>
        </w:r>
        <w:r w:rsidRPr="00BA733A">
          <w:rPr>
            <w:rStyle w:val="Hyperlink"/>
            <w:rFonts w:cs="FrankRuehl" w:hint="cs"/>
            <w:sz w:val="22"/>
            <w:szCs w:val="22"/>
            <w:rtl/>
          </w:rPr>
          <w:t>נ"א מס'</w:t>
        </w:r>
        <w:r w:rsidRPr="00BA733A">
          <w:rPr>
            <w:rStyle w:val="Hyperlink"/>
            <w:rFonts w:cs="FrankRuehl"/>
            <w:sz w:val="22"/>
            <w:szCs w:val="22"/>
            <w:rtl/>
          </w:rPr>
          <w:t xml:space="preserve"> 5328</w:t>
        </w:r>
      </w:hyperlink>
      <w:r w:rsidRPr="00BA733A">
        <w:rPr>
          <w:rFonts w:cs="FrankRuehl" w:hint="cs"/>
          <w:sz w:val="22"/>
          <w:szCs w:val="22"/>
          <w:rtl/>
        </w:rPr>
        <w:t xml:space="preserve"> מיום </w:t>
      </w:r>
      <w:r w:rsidRPr="00BA733A">
        <w:rPr>
          <w:rFonts w:cs="FrankRuehl"/>
          <w:sz w:val="22"/>
          <w:szCs w:val="22"/>
          <w:rtl/>
        </w:rPr>
        <w:t>31.1.1991 עמ' 475.</w:t>
      </w:r>
    </w:p>
    <w:p w14:paraId="17A2A324" w14:textId="77777777" w:rsidR="00BA733A" w:rsidRPr="00BA733A" w:rsidRDefault="00BA733A" w:rsidP="006C638A">
      <w:pPr>
        <w:pStyle w:val="P00"/>
        <w:spacing w:before="72"/>
        <w:ind w:left="0" w:right="1134"/>
        <w:rPr>
          <w:rFonts w:cs="FrankRuehl" w:hint="cs"/>
          <w:sz w:val="22"/>
          <w:szCs w:val="22"/>
        </w:rPr>
      </w:pPr>
      <w:r w:rsidRPr="00BA733A">
        <w:rPr>
          <w:rFonts w:cs="FrankRuehl" w:hint="cs"/>
          <w:sz w:val="22"/>
          <w:szCs w:val="22"/>
          <w:rtl/>
        </w:rPr>
        <w:t xml:space="preserve">תוקנו </w:t>
      </w:r>
      <w:hyperlink r:id="rId2" w:history="1">
        <w:r w:rsidRPr="00BA733A">
          <w:rPr>
            <w:rStyle w:val="Hyperlink"/>
            <w:rFonts w:cs="FrankRuehl"/>
            <w:sz w:val="22"/>
            <w:szCs w:val="22"/>
            <w:rtl/>
          </w:rPr>
          <w:t>ק"ת</w:t>
        </w:r>
        <w:r w:rsidRPr="00BA733A">
          <w:rPr>
            <w:rStyle w:val="Hyperlink"/>
            <w:rFonts w:cs="FrankRuehl" w:hint="cs"/>
            <w:sz w:val="22"/>
            <w:szCs w:val="22"/>
            <w:rtl/>
          </w:rPr>
          <w:t xml:space="preserve"> תש</w:t>
        </w:r>
        <w:r w:rsidRPr="00BA733A">
          <w:rPr>
            <w:rStyle w:val="Hyperlink"/>
            <w:rFonts w:cs="FrankRuehl" w:hint="cs"/>
            <w:sz w:val="22"/>
            <w:szCs w:val="22"/>
            <w:rtl/>
          </w:rPr>
          <w:t>נ"ח מס'</w:t>
        </w:r>
        <w:r w:rsidRPr="00BA733A">
          <w:rPr>
            <w:rStyle w:val="Hyperlink"/>
            <w:rFonts w:cs="FrankRuehl"/>
            <w:sz w:val="22"/>
            <w:szCs w:val="22"/>
            <w:rtl/>
          </w:rPr>
          <w:t xml:space="preserve"> 5885</w:t>
        </w:r>
      </w:hyperlink>
      <w:r w:rsidRPr="00BA733A">
        <w:rPr>
          <w:rFonts w:cs="FrankRuehl" w:hint="cs"/>
          <w:sz w:val="22"/>
          <w:szCs w:val="22"/>
          <w:rtl/>
        </w:rPr>
        <w:t xml:space="preserve"> מיום </w:t>
      </w:r>
      <w:r w:rsidRPr="00BA733A">
        <w:rPr>
          <w:rFonts w:cs="FrankRuehl"/>
          <w:sz w:val="22"/>
          <w:szCs w:val="22"/>
          <w:rtl/>
        </w:rPr>
        <w:t>5.3.1998 עמ' 486</w:t>
      </w:r>
      <w:r w:rsidRPr="00BA733A">
        <w:rPr>
          <w:rFonts w:cs="FrankRuehl" w:hint="cs"/>
          <w:sz w:val="22"/>
          <w:szCs w:val="22"/>
          <w:rtl/>
        </w:rPr>
        <w:t xml:space="preserve"> </w:t>
      </w:r>
      <w:r w:rsidRPr="00BA733A">
        <w:rPr>
          <w:rFonts w:cs="FrankRuehl"/>
          <w:sz w:val="22"/>
          <w:szCs w:val="22"/>
          <w:rtl/>
        </w:rPr>
        <w:t>–</w:t>
      </w:r>
      <w:r w:rsidRPr="00BA733A">
        <w:rPr>
          <w:rFonts w:cs="FrankRuehl" w:hint="cs"/>
          <w:sz w:val="22"/>
          <w:szCs w:val="22"/>
          <w:rtl/>
        </w:rPr>
        <w:t xml:space="preserve"> </w:t>
      </w:r>
      <w:r w:rsidR="006C638A">
        <w:rPr>
          <w:rFonts w:cs="FrankRuehl" w:hint="cs"/>
          <w:sz w:val="22"/>
          <w:szCs w:val="22"/>
          <w:rtl/>
        </w:rPr>
        <w:t>צו</w:t>
      </w:r>
      <w:r w:rsidRPr="00BA733A">
        <w:rPr>
          <w:rFonts w:cs="FrankRuehl" w:hint="cs"/>
          <w:sz w:val="22"/>
          <w:szCs w:val="22"/>
          <w:rtl/>
        </w:rPr>
        <w:t xml:space="preserve"> תשנ"ח-1998</w:t>
      </w:r>
      <w:r w:rsidR="006C638A">
        <w:rPr>
          <w:rFonts w:cs="FrankRuehl" w:hint="cs"/>
          <w:sz w:val="22"/>
          <w:szCs w:val="22"/>
          <w:rtl/>
        </w:rPr>
        <w:t>; ר' סעיף 2 לענין תחולה</w:t>
      </w:r>
      <w:r w:rsidRPr="00BA733A">
        <w:rPr>
          <w:rFonts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B4BF" w14:textId="77777777" w:rsidR="001112A4" w:rsidRDefault="001112A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כללי ממס על מילווה במטבע חוץ שמקבלת המדינה), תשנ"א–1991</w:t>
    </w:r>
  </w:p>
  <w:p w14:paraId="760FD92E" w14:textId="77777777" w:rsidR="001112A4" w:rsidRDefault="001112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0BA11C" w14:textId="77777777" w:rsidR="001112A4" w:rsidRDefault="001112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5DCB" w14:textId="77777777" w:rsidR="001112A4" w:rsidRDefault="001112A4" w:rsidP="00BA733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כללי ממס על מילווה במטבע חוץ שמקבלת המדינה), תשנ"א</w:t>
    </w:r>
    <w:r w:rsidR="00BA733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2CD8FA0E" w14:textId="77777777" w:rsidR="001112A4" w:rsidRDefault="001112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FDC59A" w14:textId="77777777" w:rsidR="001112A4" w:rsidRDefault="001112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81C"/>
    <w:rsid w:val="00010748"/>
    <w:rsid w:val="00066DBD"/>
    <w:rsid w:val="001112A4"/>
    <w:rsid w:val="00296517"/>
    <w:rsid w:val="0054381C"/>
    <w:rsid w:val="005E1D34"/>
    <w:rsid w:val="006C638A"/>
    <w:rsid w:val="007C46FC"/>
    <w:rsid w:val="00842ACF"/>
    <w:rsid w:val="00855062"/>
    <w:rsid w:val="00893929"/>
    <w:rsid w:val="009103C3"/>
    <w:rsid w:val="00B052C3"/>
    <w:rsid w:val="00BA733A"/>
    <w:rsid w:val="00EA096D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C8E600"/>
  <w15:chartTrackingRefBased/>
  <w15:docId w15:val="{16CD8E46-AD81-4B4A-85C1-BE6E6A35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4381C"/>
    <w:rPr>
      <w:color w:val="800080"/>
      <w:u w:val="single"/>
    </w:rPr>
  </w:style>
  <w:style w:type="paragraph" w:styleId="a5">
    <w:name w:val="footnote text"/>
    <w:basedOn w:val="a"/>
    <w:semiHidden/>
    <w:rsid w:val="00BA733A"/>
    <w:rPr>
      <w:sz w:val="20"/>
      <w:szCs w:val="20"/>
    </w:rPr>
  </w:style>
  <w:style w:type="character" w:styleId="a6">
    <w:name w:val="footnote reference"/>
    <w:basedOn w:val="a0"/>
    <w:semiHidden/>
    <w:rsid w:val="00BA7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88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885.pdf" TargetMode="External"/><Relationship Id="rId1" Type="http://schemas.openxmlformats.org/officeDocument/2006/relationships/hyperlink" Target="http://www.nevo.co.il/Law_word/law06/TAK-53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1113</CharactersWithSpaces>
  <SharedDoc>false</SharedDoc>
  <HLinks>
    <vt:vector size="30" baseType="variant">
      <vt:variant>
        <vt:i4>7602181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http://www.nevo.co.il/Law_word/law06/TAK-5885.pdf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http://www.nevo.co.il/Law_word/law06/TAK-5885.pdf</vt:lpwstr>
      </vt:variant>
      <vt:variant>
        <vt:lpwstr/>
      </vt:variant>
      <vt:variant>
        <vt:i4>8257539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כללי ממס על מילווה במטבע חוץ שמקבלת המדינה), תשנ"א-1991 - רבדים</vt:lpwstr>
  </property>
  <property fmtid="{D5CDD505-2E9C-101B-9397-08002B2CF9AE}" pid="5" name="LAWNUMBER">
    <vt:lpwstr>0326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כללי</vt:lpwstr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מילווים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מטבע</vt:lpwstr>
  </property>
  <property fmtid="{D5CDD505-2E9C-101B-9397-08002B2CF9AE}" pid="18" name="NOSE43">
    <vt:lpwstr>מטבע חוץ</vt:lpwstr>
  </property>
  <property fmtid="{D5CDD505-2E9C-101B-9397-08002B2CF9AE}" pid="19" name="NOSE14">
    <vt:lpwstr>משפט פרטי וכלכלה</vt:lpwstr>
  </property>
  <property fmtid="{D5CDD505-2E9C-101B-9397-08002B2CF9AE}" pid="20" name="NOSE24">
    <vt:lpwstr>כספים</vt:lpwstr>
  </property>
  <property fmtid="{D5CDD505-2E9C-101B-9397-08002B2CF9AE}" pid="21" name="NOSE34">
    <vt:lpwstr>מילווים</vt:lpwstr>
  </property>
  <property fmtid="{D5CDD505-2E9C-101B-9397-08002B2CF9AE}" pid="22" name="NOSE44">
    <vt:lpwstr/>
  </property>
  <property fmtid="{D5CDD505-2E9C-101B-9397-08002B2CF9AE}" pid="23" name="NOSE15">
    <vt:lpwstr>מסים</vt:lpwstr>
  </property>
  <property fmtid="{D5CDD505-2E9C-101B-9397-08002B2CF9AE}" pid="24" name="NOSE25">
    <vt:lpwstr>מס הכנסה</vt:lpwstr>
  </property>
  <property fmtid="{D5CDD505-2E9C-101B-9397-08002B2CF9AE}" pid="25" name="NOSE35">
    <vt:lpwstr>פטור ממס: ריבית והצ'</vt:lpwstr>
  </property>
  <property fmtid="{D5CDD505-2E9C-101B-9397-08002B2CF9AE}" pid="26" name="NOSE45">
    <vt:lpwstr>מילווה</vt:lpwstr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15X</vt:lpwstr>
  </property>
</Properties>
</file>