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D4FD" w14:textId="77777777" w:rsidR="000A119B" w:rsidRDefault="000A119B" w:rsidP="000A119B">
      <w:pPr>
        <w:pStyle w:val="big-header"/>
        <w:ind w:left="0" w:right="1134"/>
        <w:rPr>
          <w:rFonts w:cs="FrankRuehl" w:hint="cs"/>
          <w:rtl/>
        </w:rPr>
      </w:pPr>
      <w:r>
        <w:rPr>
          <w:rFonts w:cs="FrankRuehl" w:hint="cs"/>
          <w:sz w:val="32"/>
          <w:rtl/>
        </w:rPr>
        <w:t>צו מס הכנסה (פטור ממס לתושב חוזר על הכנסה מריבית על פיקדון במטבע חוץ), תשס"ד-2003</w:t>
      </w:r>
    </w:p>
    <w:p w14:paraId="7C52B9BC" w14:textId="77777777" w:rsidR="00080C80" w:rsidRPr="00080C80" w:rsidRDefault="00080C80" w:rsidP="00080C80">
      <w:pPr>
        <w:spacing w:line="320" w:lineRule="auto"/>
        <w:rPr>
          <w:rFonts w:cs="FrankRuehl"/>
          <w:szCs w:val="26"/>
          <w:rtl/>
        </w:rPr>
      </w:pPr>
    </w:p>
    <w:p w14:paraId="0CAC5A9C" w14:textId="77777777" w:rsidR="00080C80" w:rsidRDefault="00080C80" w:rsidP="00080C80">
      <w:pPr>
        <w:spacing w:line="320" w:lineRule="auto"/>
        <w:rPr>
          <w:rFonts w:cs="Miriam"/>
          <w:szCs w:val="22"/>
          <w:rtl/>
        </w:rPr>
      </w:pPr>
      <w:r w:rsidRPr="00080C80">
        <w:rPr>
          <w:rFonts w:cs="Miriam"/>
          <w:szCs w:val="22"/>
          <w:rtl/>
        </w:rPr>
        <w:t>מסים</w:t>
      </w:r>
      <w:r w:rsidRPr="00080C80">
        <w:rPr>
          <w:rFonts w:cs="FrankRuehl"/>
          <w:szCs w:val="26"/>
          <w:rtl/>
        </w:rPr>
        <w:t xml:space="preserve"> – מס הכנסה – פטור ממס: ריבית והצ' – פיקדון במטבע חוץ</w:t>
      </w:r>
    </w:p>
    <w:p w14:paraId="4B1CC925" w14:textId="77777777" w:rsidR="00080C80" w:rsidRDefault="00080C80" w:rsidP="00080C80">
      <w:pPr>
        <w:spacing w:line="320" w:lineRule="auto"/>
        <w:rPr>
          <w:rFonts w:cs="Miriam"/>
          <w:szCs w:val="22"/>
          <w:rtl/>
        </w:rPr>
      </w:pPr>
      <w:r w:rsidRPr="00080C80">
        <w:rPr>
          <w:rFonts w:cs="Miriam"/>
          <w:szCs w:val="22"/>
          <w:rtl/>
        </w:rPr>
        <w:t>משפט פרטי וכלכלה</w:t>
      </w:r>
      <w:r w:rsidRPr="00080C80">
        <w:rPr>
          <w:rFonts w:cs="FrankRuehl"/>
          <w:szCs w:val="26"/>
          <w:rtl/>
        </w:rPr>
        <w:t xml:space="preserve"> – כספים – ריבית – מיסוי ופטור ממס</w:t>
      </w:r>
    </w:p>
    <w:p w14:paraId="2A5D6C4E" w14:textId="77777777" w:rsidR="00C56D7C" w:rsidRPr="00080C80" w:rsidRDefault="00080C80" w:rsidP="00080C80">
      <w:pPr>
        <w:spacing w:line="320" w:lineRule="auto"/>
        <w:rPr>
          <w:rFonts w:cs="Miriam"/>
          <w:szCs w:val="22"/>
          <w:rtl/>
        </w:rPr>
      </w:pPr>
      <w:r w:rsidRPr="00080C80">
        <w:rPr>
          <w:rFonts w:cs="Miriam"/>
          <w:szCs w:val="22"/>
          <w:rtl/>
        </w:rPr>
        <w:t>משפט פרטי וכלכלה</w:t>
      </w:r>
      <w:r w:rsidRPr="00080C80">
        <w:rPr>
          <w:rFonts w:cs="FrankRuehl"/>
          <w:szCs w:val="26"/>
          <w:rtl/>
        </w:rPr>
        <w:t xml:space="preserve"> – כספים – מטבע – מטבע חוץ</w:t>
      </w:r>
    </w:p>
    <w:p w14:paraId="5D10BA56" w14:textId="77777777" w:rsidR="000A119B" w:rsidRPr="000A119B" w:rsidRDefault="000A119B" w:rsidP="000A119B">
      <w:pPr>
        <w:pStyle w:val="big-header"/>
        <w:ind w:left="0" w:right="1134"/>
        <w:rPr>
          <w:rStyle w:val="default"/>
          <w:rFonts w:cs="FrankRuehl" w:hint="cs"/>
          <w:rtl/>
        </w:rPr>
      </w:pPr>
      <w:r w:rsidRPr="000A119B">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1943" w:rsidRPr="00BE1943" w14:paraId="47EAED30" w14:textId="77777777">
        <w:tblPrEx>
          <w:tblCellMar>
            <w:top w:w="0" w:type="dxa"/>
            <w:bottom w:w="0" w:type="dxa"/>
          </w:tblCellMar>
        </w:tblPrEx>
        <w:tc>
          <w:tcPr>
            <w:tcW w:w="1247" w:type="dxa"/>
          </w:tcPr>
          <w:p w14:paraId="65C95273" w14:textId="77777777" w:rsidR="00BE1943" w:rsidRPr="00BE1943" w:rsidRDefault="00BE1943" w:rsidP="00BE1943">
            <w:pPr>
              <w:rPr>
                <w:rFonts w:cs="Frankruhel" w:hint="cs"/>
                <w:rtl/>
              </w:rPr>
            </w:pPr>
            <w:r>
              <w:rPr>
                <w:rtl/>
              </w:rPr>
              <w:t xml:space="preserve">סעיף 1 </w:t>
            </w:r>
          </w:p>
        </w:tc>
        <w:tc>
          <w:tcPr>
            <w:tcW w:w="5669" w:type="dxa"/>
          </w:tcPr>
          <w:p w14:paraId="776D047A" w14:textId="77777777" w:rsidR="00BE1943" w:rsidRPr="00BE1943" w:rsidRDefault="00BE1943" w:rsidP="00BE1943">
            <w:pPr>
              <w:rPr>
                <w:rFonts w:cs="Frankruhel" w:hint="cs"/>
                <w:rtl/>
              </w:rPr>
            </w:pPr>
            <w:r>
              <w:rPr>
                <w:rtl/>
              </w:rPr>
              <w:t>הגדרות</w:t>
            </w:r>
          </w:p>
        </w:tc>
        <w:tc>
          <w:tcPr>
            <w:tcW w:w="567" w:type="dxa"/>
          </w:tcPr>
          <w:p w14:paraId="2C51C272" w14:textId="77777777" w:rsidR="00BE1943" w:rsidRPr="00BE1943" w:rsidRDefault="00BE1943" w:rsidP="00BE1943">
            <w:pPr>
              <w:rPr>
                <w:rStyle w:val="Hyperlink"/>
                <w:rFonts w:hint="cs"/>
                <w:rtl/>
              </w:rPr>
            </w:pPr>
            <w:hyperlink w:anchor="Seif1" w:tooltip="הגדרות" w:history="1">
              <w:r w:rsidRPr="00BE1943">
                <w:rPr>
                  <w:rStyle w:val="Hyperlink"/>
                </w:rPr>
                <w:t>Go</w:t>
              </w:r>
            </w:hyperlink>
          </w:p>
        </w:tc>
        <w:tc>
          <w:tcPr>
            <w:tcW w:w="850" w:type="dxa"/>
          </w:tcPr>
          <w:p w14:paraId="579D4849" w14:textId="77777777" w:rsidR="00BE1943" w:rsidRPr="00BE1943" w:rsidRDefault="00BE1943" w:rsidP="00BE19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E1943" w:rsidRPr="00BE1943" w14:paraId="0ED1DBC9" w14:textId="77777777">
        <w:tblPrEx>
          <w:tblCellMar>
            <w:top w:w="0" w:type="dxa"/>
            <w:bottom w:w="0" w:type="dxa"/>
          </w:tblCellMar>
        </w:tblPrEx>
        <w:tc>
          <w:tcPr>
            <w:tcW w:w="1247" w:type="dxa"/>
          </w:tcPr>
          <w:p w14:paraId="1A9A2E05" w14:textId="77777777" w:rsidR="00BE1943" w:rsidRPr="00BE1943" w:rsidRDefault="00BE1943" w:rsidP="00BE1943">
            <w:pPr>
              <w:rPr>
                <w:rFonts w:cs="Frankruhel" w:hint="cs"/>
                <w:rtl/>
              </w:rPr>
            </w:pPr>
            <w:r>
              <w:rPr>
                <w:rtl/>
              </w:rPr>
              <w:t xml:space="preserve">סעיף 2 </w:t>
            </w:r>
          </w:p>
        </w:tc>
        <w:tc>
          <w:tcPr>
            <w:tcW w:w="5669" w:type="dxa"/>
          </w:tcPr>
          <w:p w14:paraId="27E438A7" w14:textId="77777777" w:rsidR="00BE1943" w:rsidRPr="00BE1943" w:rsidRDefault="00BE1943" w:rsidP="00BE1943">
            <w:pPr>
              <w:rPr>
                <w:rFonts w:cs="Frankruhel" w:hint="cs"/>
                <w:rtl/>
              </w:rPr>
            </w:pPr>
            <w:r>
              <w:rPr>
                <w:rtl/>
              </w:rPr>
              <w:t>פטור ממס</w:t>
            </w:r>
          </w:p>
        </w:tc>
        <w:tc>
          <w:tcPr>
            <w:tcW w:w="567" w:type="dxa"/>
          </w:tcPr>
          <w:p w14:paraId="795E3967" w14:textId="77777777" w:rsidR="00BE1943" w:rsidRPr="00BE1943" w:rsidRDefault="00BE1943" w:rsidP="00BE1943">
            <w:pPr>
              <w:rPr>
                <w:rStyle w:val="Hyperlink"/>
                <w:rFonts w:hint="cs"/>
                <w:rtl/>
              </w:rPr>
            </w:pPr>
            <w:hyperlink w:anchor="Seif2" w:tooltip="פטור ממס" w:history="1">
              <w:r w:rsidRPr="00BE1943">
                <w:rPr>
                  <w:rStyle w:val="Hyperlink"/>
                </w:rPr>
                <w:t>Go</w:t>
              </w:r>
            </w:hyperlink>
          </w:p>
        </w:tc>
        <w:tc>
          <w:tcPr>
            <w:tcW w:w="850" w:type="dxa"/>
          </w:tcPr>
          <w:p w14:paraId="2ECD2359" w14:textId="77777777" w:rsidR="00BE1943" w:rsidRPr="00BE1943" w:rsidRDefault="00BE1943" w:rsidP="00BE19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E1943" w:rsidRPr="00BE1943" w14:paraId="0AA38EF7" w14:textId="77777777">
        <w:tblPrEx>
          <w:tblCellMar>
            <w:top w:w="0" w:type="dxa"/>
            <w:bottom w:w="0" w:type="dxa"/>
          </w:tblCellMar>
        </w:tblPrEx>
        <w:tc>
          <w:tcPr>
            <w:tcW w:w="1247" w:type="dxa"/>
          </w:tcPr>
          <w:p w14:paraId="23E96851" w14:textId="77777777" w:rsidR="00BE1943" w:rsidRPr="00BE1943" w:rsidRDefault="00BE1943" w:rsidP="00BE1943">
            <w:pPr>
              <w:rPr>
                <w:rFonts w:cs="Frankruhel" w:hint="cs"/>
                <w:rtl/>
              </w:rPr>
            </w:pPr>
            <w:r>
              <w:rPr>
                <w:rtl/>
              </w:rPr>
              <w:t xml:space="preserve">סעיף 3 </w:t>
            </w:r>
          </w:p>
        </w:tc>
        <w:tc>
          <w:tcPr>
            <w:tcW w:w="5669" w:type="dxa"/>
          </w:tcPr>
          <w:p w14:paraId="4C53AB0A" w14:textId="77777777" w:rsidR="00BE1943" w:rsidRPr="00BE1943" w:rsidRDefault="00BE1943" w:rsidP="00BE1943">
            <w:pPr>
              <w:rPr>
                <w:rFonts w:cs="Frankruhel" w:hint="cs"/>
                <w:rtl/>
              </w:rPr>
            </w:pPr>
            <w:r>
              <w:rPr>
                <w:rtl/>
              </w:rPr>
              <w:t>תחילה ותחולה</w:t>
            </w:r>
          </w:p>
        </w:tc>
        <w:tc>
          <w:tcPr>
            <w:tcW w:w="567" w:type="dxa"/>
          </w:tcPr>
          <w:p w14:paraId="40D580A4" w14:textId="77777777" w:rsidR="00BE1943" w:rsidRPr="00BE1943" w:rsidRDefault="00BE1943" w:rsidP="00BE1943">
            <w:pPr>
              <w:rPr>
                <w:rStyle w:val="Hyperlink"/>
                <w:rFonts w:hint="cs"/>
                <w:rtl/>
              </w:rPr>
            </w:pPr>
            <w:hyperlink w:anchor="Seif3" w:tooltip="תחילה ותחולה" w:history="1">
              <w:r w:rsidRPr="00BE1943">
                <w:rPr>
                  <w:rStyle w:val="Hyperlink"/>
                </w:rPr>
                <w:t>Go</w:t>
              </w:r>
            </w:hyperlink>
          </w:p>
        </w:tc>
        <w:tc>
          <w:tcPr>
            <w:tcW w:w="850" w:type="dxa"/>
          </w:tcPr>
          <w:p w14:paraId="59B4DD88" w14:textId="77777777" w:rsidR="00BE1943" w:rsidRPr="00BE1943" w:rsidRDefault="00BE1943" w:rsidP="00BE19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FB04411" w14:textId="77777777" w:rsidR="000A119B" w:rsidRPr="000A119B" w:rsidRDefault="000A119B" w:rsidP="000A119B">
      <w:pPr>
        <w:pStyle w:val="big-header"/>
        <w:ind w:left="0" w:right="1134"/>
        <w:rPr>
          <w:rFonts w:cs="FrankRuehl" w:hint="cs"/>
          <w:rtl/>
        </w:rPr>
      </w:pPr>
    </w:p>
    <w:p w14:paraId="68300BB4" w14:textId="77777777" w:rsidR="00920809" w:rsidRDefault="000A119B" w:rsidP="00C56D7C">
      <w:pPr>
        <w:pStyle w:val="big-header"/>
        <w:ind w:left="0" w:right="1134"/>
        <w:rPr>
          <w:rFonts w:cs="FrankRuehl" w:hint="cs"/>
          <w:sz w:val="32"/>
          <w:rtl/>
        </w:rPr>
      </w:pPr>
      <w:r w:rsidRPr="000A119B">
        <w:rPr>
          <w:rFonts w:cs="FrankRuehl"/>
          <w:rtl/>
        </w:rPr>
        <w:br w:type="page"/>
      </w:r>
      <w:r w:rsidR="00920809">
        <w:rPr>
          <w:rFonts w:cs="FrankRuehl" w:hint="cs"/>
          <w:sz w:val="32"/>
          <w:rtl/>
        </w:rPr>
        <w:lastRenderedPageBreak/>
        <w:t>צו מס הכנסה (פטור ממס לתושב חוזר על הכנסה מריבית על פיקדון במטבע חוץ), תשס"ד-2003</w:t>
      </w:r>
      <w:r w:rsidR="00920809">
        <w:rPr>
          <w:rStyle w:val="default"/>
          <w:sz w:val="22"/>
          <w:szCs w:val="22"/>
          <w:rtl/>
        </w:rPr>
        <w:footnoteReference w:customMarkFollows="1" w:id="1"/>
        <w:t>*</w:t>
      </w:r>
    </w:p>
    <w:p w14:paraId="163DD5D4" w14:textId="77777777" w:rsidR="00920809" w:rsidRDefault="00920809">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סעיף 16 לפקודת מס הכנסה (להלן </w:t>
      </w:r>
      <w:r>
        <w:rPr>
          <w:rStyle w:val="default"/>
          <w:rFonts w:cs="FrankRuehl"/>
          <w:rtl/>
        </w:rPr>
        <w:t>–</w:t>
      </w:r>
      <w:r>
        <w:rPr>
          <w:rStyle w:val="default"/>
          <w:rFonts w:cs="FrankRuehl" w:hint="cs"/>
          <w:rtl/>
        </w:rPr>
        <w:t xml:space="preserve"> הפקודה)</w:t>
      </w:r>
      <w:r>
        <w:rPr>
          <w:rStyle w:val="default"/>
          <w:rFonts w:cs="FrankRuehl"/>
          <w:rtl/>
        </w:rPr>
        <w:t>,</w:t>
      </w:r>
      <w:r>
        <w:rPr>
          <w:rStyle w:val="default"/>
          <w:rFonts w:cs="FrankRuehl" w:hint="cs"/>
          <w:rtl/>
        </w:rPr>
        <w:t xml:space="preserve"> אני מצווה לאמור</w:t>
      </w:r>
      <w:r>
        <w:rPr>
          <w:rStyle w:val="default"/>
          <w:rFonts w:cs="FrankRuehl"/>
          <w:rtl/>
        </w:rPr>
        <w:t>:</w:t>
      </w:r>
    </w:p>
    <w:p w14:paraId="5D40ECE5" w14:textId="77777777" w:rsidR="00920809" w:rsidRDefault="00920809">
      <w:pPr>
        <w:pStyle w:val="P00"/>
        <w:spacing w:before="72"/>
        <w:ind w:left="0" w:right="1134"/>
        <w:rPr>
          <w:rStyle w:val="default"/>
          <w:rFonts w:cs="FrankRuehl" w:hint="cs"/>
          <w:rtl/>
        </w:rPr>
      </w:pPr>
      <w:bookmarkStart w:id="0" w:name="Seif1"/>
      <w:bookmarkEnd w:id="0"/>
      <w:r>
        <w:rPr>
          <w:rFonts w:cs="Miriam"/>
          <w:lang w:val="he-IL"/>
        </w:rPr>
        <w:pict w14:anchorId="3B472641">
          <v:rect id="_x0000_s1026" style="position:absolute;left:0;text-align:left;margin-left:464.5pt;margin-top:8.05pt;width:75.05pt;height:9.5pt;z-index:251656704" o:allowincell="f" filled="f" stroked="f" strokecolor="lime" strokeweight=".25pt">
            <v:textbox inset="0,0,0,0">
              <w:txbxContent>
                <w:p w14:paraId="66470AA7" w14:textId="77777777" w:rsidR="00920809" w:rsidRDefault="0092080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1ECD06F4" w14:textId="77777777" w:rsidR="00920809" w:rsidRDefault="00920809">
      <w:pPr>
        <w:pStyle w:val="P00"/>
        <w:spacing w:before="72"/>
        <w:ind w:left="0" w:right="1134"/>
        <w:rPr>
          <w:rStyle w:val="default"/>
          <w:rFonts w:cs="FrankRuehl" w:hint="cs"/>
          <w:rtl/>
        </w:rPr>
      </w:pPr>
      <w:r>
        <w:rPr>
          <w:rStyle w:val="default"/>
          <w:rFonts w:cs="FrankRuehl" w:hint="cs"/>
          <w:rtl/>
        </w:rPr>
        <w:tab/>
        <w:t xml:space="preserve">"פיקדון במטבע חוץ" </w:t>
      </w:r>
      <w:r>
        <w:rPr>
          <w:rStyle w:val="default"/>
          <w:rFonts w:cs="FrankRuehl"/>
          <w:rtl/>
        </w:rPr>
        <w:t>–</w:t>
      </w:r>
      <w:r>
        <w:rPr>
          <w:rStyle w:val="default"/>
          <w:rFonts w:cs="FrankRuehl" w:hint="cs"/>
          <w:rtl/>
        </w:rPr>
        <w:t xml:space="preserve"> פיקדון במטבע חוץ בתאגיד בנקאי;</w:t>
      </w:r>
    </w:p>
    <w:p w14:paraId="3A90787C" w14:textId="77777777" w:rsidR="00920809" w:rsidRDefault="00920809">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לפקודה, אם הוא תושב ישראל;</w:t>
      </w:r>
    </w:p>
    <w:p w14:paraId="536B0F94" w14:textId="77777777" w:rsidR="00920809" w:rsidRDefault="00920809">
      <w:pPr>
        <w:pStyle w:val="P00"/>
        <w:spacing w:before="72"/>
        <w:ind w:left="0" w:right="1134"/>
        <w:rPr>
          <w:rStyle w:val="default"/>
          <w:rFonts w:cs="FrankRuehl" w:hint="cs"/>
          <w:rtl/>
        </w:rPr>
      </w:pPr>
      <w:r>
        <w:rPr>
          <w:rStyle w:val="default"/>
          <w:rFonts w:cs="FrankRuehl" w:hint="cs"/>
          <w:rtl/>
        </w:rPr>
        <w:tab/>
        <w:t xml:space="preserve">"תושב חוזר" </w:t>
      </w:r>
      <w:r>
        <w:rPr>
          <w:rStyle w:val="default"/>
          <w:rFonts w:cs="FrankRuehl"/>
          <w:rtl/>
        </w:rPr>
        <w:t>–</w:t>
      </w:r>
      <w:r>
        <w:rPr>
          <w:rStyle w:val="default"/>
          <w:rFonts w:cs="FrankRuehl" w:hint="cs"/>
          <w:rtl/>
        </w:rPr>
        <w:t xml:space="preserve"> כהגדרתו בסעיף 14(ג) לפקודה.</w:t>
      </w:r>
    </w:p>
    <w:p w14:paraId="4D417522" w14:textId="77777777" w:rsidR="00920809" w:rsidRDefault="00920809">
      <w:pPr>
        <w:pStyle w:val="P00"/>
        <w:spacing w:before="72"/>
        <w:ind w:left="0" w:right="1134"/>
        <w:rPr>
          <w:rStyle w:val="default"/>
          <w:rFonts w:cs="FrankRuehl" w:hint="cs"/>
          <w:rtl/>
        </w:rPr>
      </w:pPr>
      <w:bookmarkStart w:id="1" w:name="Seif2"/>
      <w:bookmarkEnd w:id="1"/>
      <w:r>
        <w:rPr>
          <w:rFonts w:cs="Miriam"/>
          <w:lang w:val="he-IL"/>
        </w:rPr>
        <w:pict w14:anchorId="33936BBF">
          <v:rect id="_x0000_s1032" style="position:absolute;left:0;text-align:left;margin-left:464.5pt;margin-top:8.05pt;width:75.05pt;height:13.1pt;z-index:251657728" o:allowincell="f" filled="f" stroked="f" strokecolor="lime" strokeweight=".25pt">
            <v:textbox style="mso-next-textbox:#_x0000_s1032" inset="0,0,0,0">
              <w:txbxContent>
                <w:p w14:paraId="1F93AB1D" w14:textId="77777777" w:rsidR="00920809" w:rsidRDefault="00920809">
                  <w:pPr>
                    <w:pStyle w:val="a7"/>
                    <w:rPr>
                      <w:rFonts w:hint="cs"/>
                      <w:noProof/>
                      <w:rtl/>
                    </w:rPr>
                  </w:pPr>
                  <w:r>
                    <w:rPr>
                      <w:rFonts w:hint="cs"/>
                      <w:rtl/>
                    </w:rPr>
                    <w:t>פטור ממס</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ריבית המשולמת לתושב חוזר על פיקדון במטבע חוץ, תהיה פטורה ממס אם התקיימו כל אלה:</w:t>
      </w:r>
    </w:p>
    <w:p w14:paraId="6337876B" w14:textId="77777777" w:rsidR="00920809" w:rsidRDefault="0092080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בפיקדון הופקדו רק סכומי כסף שהיו לתושב החוזר מחוץ לישראל, שמקורם אינו ממכירת נכסים בישראל שחל במכירתם סעיף 89(ב) לפקודה, ואשר נוצרו בתקופת שהותו מחוץ לישראל לאחר שחדל להיות תושב ישראל;</w:t>
      </w:r>
    </w:p>
    <w:p w14:paraId="64530D8E" w14:textId="77777777" w:rsidR="00920809" w:rsidRDefault="0092080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הסכומים שהופקדו בפיקדון בתוך תשעים ימים מיום העברתם לישראל, לאחר שהיה לתושב חוזר או בעת שהיה תושב חוץ;</w:t>
      </w:r>
    </w:p>
    <w:p w14:paraId="613BD9D3" w14:textId="77777777" w:rsidR="00920809" w:rsidRDefault="009208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חלפו 5 שנים מיום שהיה לתושב חוזר;</w:t>
      </w:r>
    </w:p>
    <w:p w14:paraId="50205A4E" w14:textId="77777777" w:rsidR="00920809" w:rsidRDefault="0092080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התושב החוזר מסר לתאגיד הבנקאי בתוך 14 ימים ממועד הפקדת סכומים בפיקדון, הצהרה בטופס 2409, על היותו תושב חוזר ועל זכאותו לפטור;</w:t>
      </w:r>
    </w:p>
    <w:p w14:paraId="04353656" w14:textId="77777777" w:rsidR="00920809" w:rsidRDefault="0092080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ההכנסה מריבית אינה הכנסה מעסק או ממשלח יד בידיו אינה רשומה בפנקסי חשבונותיו ואינה חייבת ברישום כאמור;</w:t>
      </w:r>
    </w:p>
    <w:p w14:paraId="0872261C" w14:textId="77777777" w:rsidR="00920809" w:rsidRDefault="0092080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הפיקדון לא שימש למתן הלוואה או כבטוחה להלוואה שנתן התאגיד הבנקאי לקרובו של התושב החוזר;</w:t>
      </w:r>
    </w:p>
    <w:p w14:paraId="1E2CC1BD" w14:textId="77777777" w:rsidR="00920809" w:rsidRDefault="0092080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הריבית משולמת בעבור התקופה שבה זכאי התושב החוזר לפטור על פי תקנות אלה.</w:t>
      </w:r>
    </w:p>
    <w:p w14:paraId="361120AA" w14:textId="77777777" w:rsidR="00920809" w:rsidRDefault="00920809">
      <w:pPr>
        <w:pStyle w:val="P00"/>
        <w:spacing w:before="72"/>
        <w:ind w:left="0" w:right="1134"/>
        <w:rPr>
          <w:rStyle w:val="default"/>
          <w:rFonts w:cs="FrankRuehl" w:hint="cs"/>
          <w:rtl/>
        </w:rPr>
      </w:pPr>
      <w:bookmarkStart w:id="2" w:name="Seif3"/>
      <w:bookmarkEnd w:id="2"/>
      <w:r>
        <w:rPr>
          <w:rFonts w:cs="Miriam"/>
          <w:lang w:val="he-IL"/>
        </w:rPr>
        <w:pict w14:anchorId="399959F3">
          <v:rect id="_x0000_s1064" style="position:absolute;left:0;text-align:left;margin-left:464.5pt;margin-top:8.05pt;width:75.05pt;height:13.1pt;z-index:251658752" o:allowincell="f" filled="f" stroked="f" strokecolor="lime" strokeweight=".25pt">
            <v:textbox style="mso-next-textbox:#_x0000_s1064" inset="0,0,0,0">
              <w:txbxContent>
                <w:p w14:paraId="22A74A4D" w14:textId="77777777" w:rsidR="00920809" w:rsidRDefault="00920809">
                  <w:pPr>
                    <w:pStyle w:val="a7"/>
                    <w:rPr>
                      <w:rFonts w:hint="cs"/>
                      <w:noProof/>
                      <w:rtl/>
                    </w:rPr>
                  </w:pPr>
                  <w:r>
                    <w:rPr>
                      <w:rFonts w:hint="cs"/>
                      <w:rtl/>
                    </w:rPr>
                    <w:t>תחילה ותחולה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צו זה יחול לגבי ריבית המשתלמת ביום כ"ז בטבת התשס"ג (1 בינואר 2003) ואילך (להלן </w:t>
      </w:r>
      <w:r>
        <w:rPr>
          <w:rStyle w:val="default"/>
          <w:rFonts w:cs="FrankRuehl"/>
          <w:rtl/>
        </w:rPr>
        <w:t>–</w:t>
      </w:r>
      <w:r>
        <w:rPr>
          <w:rStyle w:val="default"/>
          <w:rFonts w:cs="FrankRuehl" w:hint="cs"/>
          <w:rtl/>
        </w:rPr>
        <w:t xml:space="preserve"> יום התחילה), ואולם לענין פיקדון של תושב חוזר שחלו עליו הוראות צו מס הכנסה (פטור ממס על הכנסה מריבית על פיקדון חופשי במטבע חוץ), התש"ל-1970, לפני יום התחילה, יחול פטור ממס עד תום שנת המס 2007, או עד תום 10 שנים מיום שהיה לתושב חוזר, לפי המוקדם, אם הצהיר בפני פקיד השומה, בטופס 2409 על היותו תושב חוזר בתוך שלושה חודשים מיום פרסומו של צו זה.</w:t>
      </w:r>
    </w:p>
    <w:p w14:paraId="4A1EEBA7" w14:textId="77777777" w:rsidR="00920809" w:rsidRDefault="00920809">
      <w:pPr>
        <w:pStyle w:val="P00"/>
        <w:spacing w:before="72"/>
        <w:ind w:left="0" w:right="1134"/>
        <w:rPr>
          <w:rStyle w:val="default"/>
          <w:rFonts w:cs="FrankRuehl" w:hint="cs"/>
          <w:rtl/>
        </w:rPr>
      </w:pPr>
    </w:p>
    <w:p w14:paraId="1F4353F7" w14:textId="77777777" w:rsidR="00920809" w:rsidRDefault="00920809">
      <w:pPr>
        <w:pStyle w:val="page"/>
        <w:widowControl/>
        <w:ind w:right="1134"/>
        <w:rPr>
          <w:rStyle w:val="default"/>
          <w:rFonts w:cs="FrankRuehl"/>
          <w:position w:val="0"/>
          <w:rtl/>
        </w:rPr>
      </w:pPr>
    </w:p>
    <w:p w14:paraId="74F8EC97" w14:textId="77777777" w:rsidR="00920809" w:rsidRDefault="00920809">
      <w:pPr>
        <w:pStyle w:val="sig-0"/>
        <w:ind w:left="0" w:right="1134"/>
        <w:rPr>
          <w:rFonts w:cs="FrankRuehl" w:hint="cs"/>
          <w:sz w:val="26"/>
          <w:rtl/>
        </w:rPr>
      </w:pPr>
      <w:r>
        <w:rPr>
          <w:rFonts w:cs="FrankRuehl" w:hint="cs"/>
          <w:sz w:val="26"/>
          <w:rtl/>
        </w:rPr>
        <w:t>כ"ד בתשרי התשס"ד (20 באוקטובר 2003)</w:t>
      </w:r>
      <w:r>
        <w:rPr>
          <w:rFonts w:cs="FrankRuehl"/>
          <w:sz w:val="26"/>
          <w:rtl/>
        </w:rPr>
        <w:tab/>
      </w:r>
      <w:r>
        <w:rPr>
          <w:rFonts w:cs="FrankRuehl" w:hint="cs"/>
          <w:sz w:val="26"/>
          <w:rtl/>
        </w:rPr>
        <w:t>בנימין נתניהו</w:t>
      </w:r>
    </w:p>
    <w:p w14:paraId="0C995019" w14:textId="77777777" w:rsidR="00920809" w:rsidRDefault="00920809">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האוצר</w:t>
      </w:r>
    </w:p>
    <w:p w14:paraId="70A290A4" w14:textId="77777777" w:rsidR="00920809" w:rsidRPr="000A119B" w:rsidRDefault="00920809" w:rsidP="000A119B">
      <w:pPr>
        <w:pStyle w:val="P00"/>
        <w:spacing w:before="72"/>
        <w:ind w:left="0" w:right="1134"/>
        <w:rPr>
          <w:rStyle w:val="default"/>
          <w:rFonts w:cs="FrankRuehl" w:hint="cs"/>
          <w:rtl/>
        </w:rPr>
      </w:pPr>
    </w:p>
    <w:p w14:paraId="2793E14F" w14:textId="77777777" w:rsidR="000A119B" w:rsidRPr="000A119B" w:rsidRDefault="000A119B" w:rsidP="000A119B">
      <w:pPr>
        <w:pStyle w:val="P00"/>
        <w:spacing w:before="72"/>
        <w:ind w:left="0" w:right="1134"/>
        <w:rPr>
          <w:rStyle w:val="default"/>
          <w:rFonts w:cs="FrankRuehl"/>
          <w:rtl/>
        </w:rPr>
      </w:pPr>
    </w:p>
    <w:p w14:paraId="6F3765BE" w14:textId="77777777" w:rsidR="00920809" w:rsidRPr="000A119B" w:rsidRDefault="00920809" w:rsidP="000A119B">
      <w:pPr>
        <w:pStyle w:val="P00"/>
        <w:spacing w:before="72"/>
        <w:ind w:left="0" w:right="1134"/>
        <w:rPr>
          <w:rStyle w:val="default"/>
          <w:rFonts w:cs="FrankRuehl"/>
          <w:rtl/>
        </w:rPr>
      </w:pPr>
    </w:p>
    <w:sectPr w:rsidR="00920809" w:rsidRPr="000A119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3DB2" w14:textId="77777777" w:rsidR="000B65F6" w:rsidRDefault="000B65F6">
      <w:r>
        <w:separator/>
      </w:r>
    </w:p>
  </w:endnote>
  <w:endnote w:type="continuationSeparator" w:id="0">
    <w:p w14:paraId="67B3AD53" w14:textId="77777777" w:rsidR="000B65F6" w:rsidRDefault="000B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1106" w14:textId="77777777" w:rsidR="00920809" w:rsidRDefault="009208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BA0837" w14:textId="77777777" w:rsidR="00920809" w:rsidRDefault="009208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DA1B8C" w14:textId="77777777" w:rsidR="00920809" w:rsidRDefault="009208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1943">
      <w:rPr>
        <w:rFonts w:cs="TopType Jerushalmi"/>
        <w:noProof/>
        <w:color w:val="000000"/>
        <w:sz w:val="14"/>
        <w:szCs w:val="14"/>
      </w:rPr>
      <w:t>Z:\000000000000-law\yael\08-10-12\999_213.doc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E2C" w14:textId="77777777" w:rsidR="00920809" w:rsidRDefault="009208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228D">
      <w:rPr>
        <w:rFonts w:hAnsi="FrankRuehl" w:cs="FrankRuehl"/>
        <w:noProof/>
        <w:sz w:val="24"/>
        <w:szCs w:val="24"/>
        <w:rtl/>
      </w:rPr>
      <w:t>2</w:t>
    </w:r>
    <w:r>
      <w:rPr>
        <w:rFonts w:hAnsi="FrankRuehl" w:cs="FrankRuehl"/>
        <w:sz w:val="24"/>
        <w:szCs w:val="24"/>
        <w:rtl/>
      </w:rPr>
      <w:fldChar w:fldCharType="end"/>
    </w:r>
  </w:p>
  <w:p w14:paraId="6DF39F9D" w14:textId="77777777" w:rsidR="00920809" w:rsidRDefault="009208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3F3DE0" w14:textId="77777777" w:rsidR="00920809" w:rsidRDefault="009208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1943">
      <w:rPr>
        <w:rFonts w:cs="TopType Jerushalmi"/>
        <w:noProof/>
        <w:color w:val="000000"/>
        <w:sz w:val="14"/>
        <w:szCs w:val="14"/>
      </w:rPr>
      <w:t>Z:\000000000000-law\yael\08-10-12\999_213.doc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97C4" w14:textId="77777777" w:rsidR="000B65F6" w:rsidRDefault="000B65F6" w:rsidP="000A119B">
      <w:pPr>
        <w:spacing w:before="60"/>
        <w:ind w:right="1134"/>
      </w:pPr>
      <w:r>
        <w:separator/>
      </w:r>
    </w:p>
  </w:footnote>
  <w:footnote w:type="continuationSeparator" w:id="0">
    <w:p w14:paraId="7EC27965" w14:textId="77777777" w:rsidR="000B65F6" w:rsidRDefault="000B65F6">
      <w:r>
        <w:continuationSeparator/>
      </w:r>
    </w:p>
  </w:footnote>
  <w:footnote w:id="1">
    <w:p w14:paraId="200D791E" w14:textId="77777777" w:rsidR="00920809" w:rsidRDefault="009208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26521">
          <w:rPr>
            <w:rStyle w:val="Hyperlink"/>
            <w:rFonts w:cs="FrankRuehl" w:hint="cs"/>
            <w:rtl/>
          </w:rPr>
          <w:t>ק"ת תשס"ד מס' 6270</w:t>
        </w:r>
      </w:hyperlink>
      <w:r>
        <w:rPr>
          <w:rFonts w:cs="FrankRuehl" w:hint="cs"/>
          <w:rtl/>
        </w:rPr>
        <w:t xml:space="preserve"> מיום 27.10.2003 עמ'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C5EA" w14:textId="77777777" w:rsidR="00920809" w:rsidRDefault="009208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2717A5A" w14:textId="77777777" w:rsidR="00920809" w:rsidRDefault="009208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6F8817" w14:textId="77777777" w:rsidR="00920809" w:rsidRDefault="009208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01CA" w14:textId="77777777" w:rsidR="00920809" w:rsidRDefault="0092080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(פטור ממס לתושב חוזר על הכנסה מריבית על פיקדון במטבע חוץ), תשס"ד-2003</w:t>
    </w:r>
  </w:p>
  <w:p w14:paraId="06505EC7" w14:textId="77777777" w:rsidR="00920809" w:rsidRDefault="009208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50BB34" w14:textId="77777777" w:rsidR="00920809" w:rsidRDefault="0092080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5833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6521"/>
    <w:rsid w:val="00080C80"/>
    <w:rsid w:val="000A119B"/>
    <w:rsid w:val="000A431E"/>
    <w:rsid w:val="000B65F6"/>
    <w:rsid w:val="00102ADA"/>
    <w:rsid w:val="004271EA"/>
    <w:rsid w:val="00920809"/>
    <w:rsid w:val="00926521"/>
    <w:rsid w:val="00947376"/>
    <w:rsid w:val="0098228D"/>
    <w:rsid w:val="009D5CF0"/>
    <w:rsid w:val="00BE1943"/>
    <w:rsid w:val="00C56D7C"/>
    <w:rsid w:val="00E666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2E9397CC"/>
  <w15:chartTrackingRefBased/>
  <w15:docId w15:val="{A97F3591-1F03-444B-9694-5B7AC95B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2136</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http://www.nevo.co.il/Law_word/law06/TAK-6270.pdf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(פטור ממס לתושב חוזר על הכנסה מריבית על פיקדון במטבע חוץ), תשס"ד-2003</vt:lpwstr>
  </property>
  <property fmtid="{D5CDD505-2E9C-101B-9397-08002B2CF9AE}" pid="4" name="LAWNUMBER">
    <vt:lpwstr>0213</vt:lpwstr>
  </property>
  <property fmtid="{D5CDD505-2E9C-101B-9397-08002B2CF9AE}" pid="5" name="TYPE">
    <vt:lpwstr>01</vt:lpwstr>
  </property>
  <property fmtid="{D5CDD505-2E9C-101B-9397-08002B2CF9AE}" pid="6" name="CHNAME">
    <vt:lpwstr>מס הכנסה</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פטור ממס: ריבית והצ'</vt:lpwstr>
  </property>
  <property fmtid="{D5CDD505-2E9C-101B-9397-08002B2CF9AE}" pid="10" name="NOSE41">
    <vt:lpwstr>פיקדון במטבע חוץ</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ריבית</vt:lpwstr>
  </property>
  <property fmtid="{D5CDD505-2E9C-101B-9397-08002B2CF9AE}" pid="14" name="NOSE42">
    <vt:lpwstr>מיסוי ופטור ממס</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מטבע</vt:lpwstr>
  </property>
  <property fmtid="{D5CDD505-2E9C-101B-9397-08002B2CF9AE}" pid="18" name="NOSE43">
    <vt:lpwstr>מטבע חוץ</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 </vt:lpwstr>
  </property>
  <property fmtid="{D5CDD505-2E9C-101B-9397-08002B2CF9AE}" pid="48" name="MEKOR_SAIF1">
    <vt:lpwstr>16X</vt:lpwstr>
  </property>
</Properties>
</file>