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970" w:rsidRDefault="00A03970" w:rsidP="00A03970">
      <w:pPr>
        <w:pStyle w:val="big-header"/>
        <w:ind w:left="0" w:right="1134"/>
      </w:pPr>
      <w:r>
        <w:rPr>
          <w:rFonts w:hint="cs"/>
          <w:rtl/>
        </w:rPr>
        <w:t>צו מס הכנסה (פטור ממס על פיקדון של תושב חוץ), תשס"ג-2002</w:t>
      </w:r>
    </w:p>
    <w:p w:rsidR="00D428A1" w:rsidRPr="00D428A1" w:rsidRDefault="00D428A1" w:rsidP="00D428A1">
      <w:pPr>
        <w:spacing w:line="320" w:lineRule="auto"/>
        <w:jc w:val="left"/>
        <w:rPr>
          <w:rFonts w:cs="FrankRuehl"/>
          <w:szCs w:val="26"/>
          <w:rtl/>
        </w:rPr>
      </w:pPr>
    </w:p>
    <w:p w:rsidR="00D428A1" w:rsidRDefault="00D428A1" w:rsidP="00D428A1">
      <w:pPr>
        <w:spacing w:line="320" w:lineRule="auto"/>
        <w:jc w:val="left"/>
        <w:rPr>
          <w:rtl/>
        </w:rPr>
      </w:pPr>
    </w:p>
    <w:p w:rsidR="00D428A1" w:rsidRPr="00D428A1" w:rsidRDefault="00D428A1" w:rsidP="00D428A1">
      <w:pPr>
        <w:spacing w:line="320" w:lineRule="auto"/>
        <w:jc w:val="left"/>
        <w:rPr>
          <w:rFonts w:cs="Miriam"/>
          <w:szCs w:val="22"/>
          <w:rtl/>
        </w:rPr>
      </w:pPr>
      <w:r w:rsidRPr="00D428A1">
        <w:rPr>
          <w:rFonts w:cs="Miriam"/>
          <w:szCs w:val="22"/>
          <w:rtl/>
        </w:rPr>
        <w:t>מסים</w:t>
      </w:r>
      <w:r w:rsidRPr="00D428A1">
        <w:rPr>
          <w:rFonts w:cs="FrankRuehl"/>
          <w:szCs w:val="26"/>
          <w:rtl/>
        </w:rPr>
        <w:t xml:space="preserve"> – מס הכנסה – פטור ממס: כללי – תושב חוץ</w:t>
      </w:r>
    </w:p>
    <w:p w:rsidR="00A03970" w:rsidRDefault="00A03970" w:rsidP="00A03970">
      <w:pPr>
        <w:pStyle w:val="big-header"/>
        <w:ind w:left="0" w:right="1134"/>
        <w:rPr>
          <w:sz w:val="32"/>
          <w:rtl/>
        </w:rPr>
      </w:pPr>
      <w:r>
        <w:rPr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5318" w:rsidRPr="004253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253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5318" w:rsidRPr="004253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</w:t>
            </w:r>
          </w:p>
        </w:tc>
        <w:tc>
          <w:tcPr>
            <w:tcW w:w="56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מס" w:history="1">
              <w:r w:rsidRPr="004253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5318" w:rsidRPr="004253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4253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5318" w:rsidRPr="004253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לה" w:history="1">
              <w:r w:rsidRPr="004253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5318" w:rsidRPr="00425318" w:rsidRDefault="00425318" w:rsidP="0042531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03970" w:rsidRDefault="00A03970" w:rsidP="00A03970">
      <w:pPr>
        <w:pStyle w:val="big-header"/>
        <w:ind w:left="0" w:right="1134"/>
        <w:rPr>
          <w:sz w:val="32"/>
          <w:rtl/>
        </w:rPr>
      </w:pPr>
    </w:p>
    <w:p w:rsidR="005A5832" w:rsidRDefault="00A03970" w:rsidP="00D428A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sz w:val="32"/>
          <w:rtl/>
        </w:rPr>
        <w:br w:type="page"/>
      </w:r>
      <w:r w:rsidR="005A5832">
        <w:rPr>
          <w:rFonts w:hint="cs"/>
          <w:rtl/>
        </w:rPr>
        <w:lastRenderedPageBreak/>
        <w:t>צו מס הכנסה (פטור ממס על פיקדון של תושב חוץ), תשס"ג-2002</w:t>
      </w:r>
      <w:r w:rsidR="005A5832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16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לפי חוק-יסוד: משק המדינה, אני מצווה לאמור: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6192" o:allowincell="f" filled="f" stroked="f" strokecolor="lime" strokeweight=".25pt">
            <v:textbox style="mso-next-textbox:#_x0000_s1026" inset="0,0,0,0">
              <w:txbxContent>
                <w:p w:rsidR="005A5832" w:rsidRDefault="005A58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"בעל שליטה" ו"קרוב"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בסעיף 32(9) לפקודה;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"פיקדון במטבע חוץ"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פיקדון במטבע חוץ אצל החשב הכללי או בתאגיד בנקאי.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2.2pt;width:1in;height:22.45pt;z-index:251657216" filled="f" stroked="f">
            <v:textbox inset="1mm,,1mm">
              <w:txbxContent>
                <w:p w:rsidR="005A5832" w:rsidRDefault="005A58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ממס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ריבית המשולמת על פיקדון במטבע חוץ לתושב חוץ פטורה ממס, בהתקיים כל אלה:</w:t>
      </w:r>
    </w:p>
    <w:p w:rsidR="005A5832" w:rsidRDefault="005A58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הפיקדון אינו רשום בספרי מפעל הקבע של תושב החוץ בישראל ואינו חייב ברישום כאמור וההכנסה מריבית אינה הכנסה מעסק או ממשלח יד בידיו;</w:t>
      </w:r>
    </w:p>
    <w:p w:rsidR="005A5832" w:rsidRDefault="005A58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לתושב החוץ אין שותפים בפיקדון שאינם תושבי חוץ;</w:t>
      </w:r>
    </w:p>
    <w:p w:rsidR="005A5832" w:rsidRDefault="005A58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תושב החוץ הצהיר עד לתחילת שנת המס או בתוך 14 ימים ממועד פתיחתו לראשונה של הפיקדון, לפי המאוחר, בטופס 2402, על היותו תושב חוץ;</w:t>
      </w:r>
    </w:p>
    <w:p w:rsidR="005A5832" w:rsidRDefault="005A583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הפיקדון לא שימש למתן הלוואה או כבטוחה להלוואה שנתן התאגיד הבנקאי לקרובו של תושב החוץ או לחבר בני אדם שתושב החוץ הוא בעל שליטה בו, אם הם תושבי ישראל.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037" type="#_x0000_t202" style="position:absolute;left:0;text-align:left;margin-left:462pt;margin-top:4.6pt;width:80.25pt;height:19pt;z-index:251658240" filled="f" stroked="f">
            <v:textbox inset="1mm,,1mm">
              <w:txbxContent>
                <w:p w:rsidR="005A5832" w:rsidRDefault="005A5832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צו מס הכנסה (פטור ממס על פיקדונות תושבי חוץ), התשמ"א-1981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049" type="#_x0000_t202" style="position:absolute;left:0;text-align:left;margin-left:470.25pt;margin-top:7.7pt;width:1in;height:22.4pt;z-index:251659264" filled="f" stroked="f">
            <v:textbox inset="1mm,,1mm">
              <w:txbxContent>
                <w:p w:rsidR="005A5832" w:rsidRDefault="005A58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צו זה יחול על ריבית המשתלמת ביום כ"ז בטבת התשס"ג (1 בינואר 2003)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התחילה) ואילך, ואולם על פיקדון של תושב חוץ שנפתח לפני יום התחילה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תחול פסקה (3) בתקנה 2 החל ביום ז' בטבת התשס"ד (1 בינואר 2004).</w:t>
      </w: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5832" w:rsidRDefault="005A58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5832" w:rsidRDefault="005A58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כ"ט בכסלו התשס"ג (4 בדצמבר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:rsidR="005A5832" w:rsidRDefault="005A58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:rsidR="005A5832" w:rsidRDefault="005A5832">
      <w:pPr>
        <w:pStyle w:val="P00"/>
        <w:spacing w:before="72"/>
        <w:ind w:left="0" w:right="1134"/>
        <w:rPr>
          <w:rFonts w:cs="David"/>
          <w:noProof w:val="0"/>
          <w:szCs w:val="22"/>
          <w:rtl/>
        </w:rPr>
      </w:pPr>
    </w:p>
    <w:p w:rsidR="005A5832" w:rsidRDefault="005A5832">
      <w:pPr>
        <w:ind w:right="1134"/>
        <w:rPr>
          <w:rtl/>
        </w:rPr>
      </w:pPr>
      <w:bookmarkStart w:id="4" w:name="LawPartEnd"/>
    </w:p>
    <w:bookmarkEnd w:id="4"/>
    <w:p w:rsidR="005A5832" w:rsidRDefault="005A5832">
      <w:pPr>
        <w:ind w:right="1134"/>
        <w:rPr>
          <w:rtl/>
        </w:rPr>
      </w:pPr>
    </w:p>
    <w:sectPr w:rsidR="005A583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52C" w:rsidRDefault="0062552C">
      <w:r>
        <w:separator/>
      </w:r>
    </w:p>
  </w:endnote>
  <w:endnote w:type="continuationSeparator" w:id="0">
    <w:p w:rsidR="0062552C" w:rsidRDefault="0062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832" w:rsidRDefault="005A58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A5832" w:rsidRDefault="005A58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A5832" w:rsidRDefault="005A58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5318">
      <w:rPr>
        <w:rFonts w:cs="TopType Jerushalmi"/>
        <w:noProof/>
        <w:color w:val="000000"/>
        <w:sz w:val="14"/>
        <w:szCs w:val="14"/>
      </w:rPr>
      <w:t>Z:\000000000000-law\yael\08-10-12\999_068.doc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832" w:rsidRDefault="005A58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28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A5832" w:rsidRDefault="005A58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A5832" w:rsidRDefault="005A58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5318">
      <w:rPr>
        <w:rFonts w:cs="TopType Jerushalmi"/>
        <w:noProof/>
        <w:color w:val="000000"/>
        <w:sz w:val="14"/>
        <w:szCs w:val="14"/>
      </w:rPr>
      <w:t>Z:\000000000000-law\yael\08-10-12\999_068.doc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52C" w:rsidRDefault="0062552C" w:rsidP="00A0397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2552C" w:rsidRDefault="0062552C">
      <w:r>
        <w:continuationSeparator/>
      </w:r>
    </w:p>
  </w:footnote>
  <w:footnote w:id="1">
    <w:p w:rsidR="005A5832" w:rsidRDefault="005A58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1B44C8">
          <w:rPr>
            <w:rStyle w:val="Hyperlink"/>
            <w:rFonts w:hint="cs"/>
            <w:sz w:val="20"/>
            <w:rtl/>
          </w:rPr>
          <w:t>ק"ת תשס"ג מס' 6214</w:t>
        </w:r>
      </w:hyperlink>
      <w:r>
        <w:rPr>
          <w:rFonts w:hint="cs"/>
          <w:sz w:val="20"/>
          <w:rtl/>
        </w:rPr>
        <w:t xml:space="preserve"> מיום 19.12.2002 עמ' 290.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832" w:rsidRDefault="005A58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5A5832" w:rsidRDefault="005A58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5832" w:rsidRDefault="005A58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832" w:rsidRDefault="005A583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(פטור ממס על פיקדון של תושב חוץ), תשס"ג-2002</w:t>
    </w:r>
  </w:p>
  <w:p w:rsidR="005A5832" w:rsidRDefault="005A58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5832" w:rsidRDefault="005A58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4C8"/>
    <w:rsid w:val="001B44C8"/>
    <w:rsid w:val="00294F27"/>
    <w:rsid w:val="00357A1D"/>
    <w:rsid w:val="00425318"/>
    <w:rsid w:val="005A5832"/>
    <w:rsid w:val="0062552C"/>
    <w:rsid w:val="006C0CAF"/>
    <w:rsid w:val="00A03970"/>
    <w:rsid w:val="00BC58CE"/>
    <w:rsid w:val="00D428A1"/>
    <w:rsid w:val="00E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49214F71-80EF-472C-8376-EA715C1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1632</CharactersWithSpaces>
  <SharedDoc>false</SharedDoc>
  <HLinks>
    <vt:vector size="30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(פטור ממס על פיקדון של תושב חוץ), תשס"ג-2002</vt:lpwstr>
  </property>
  <property fmtid="{D5CDD505-2E9C-101B-9397-08002B2CF9AE}" pid="4" name="LAWNUMBER">
    <vt:lpwstr>0068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</vt:lpwstr>
  </property>
  <property fmtid="{D5CDD505-2E9C-101B-9397-08002B2CF9AE}" pid="7" name="MEKOR_SAIF1">
    <vt:lpwstr>16X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פטור ממס: כללי</vt:lpwstr>
  </property>
  <property fmtid="{D5CDD505-2E9C-101B-9397-08002B2CF9AE}" pid="11" name="NOSE41">
    <vt:lpwstr>תושב חוץ</vt:lpwstr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