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D2A" w:rsidRDefault="00E16D2A" w:rsidP="00B97360">
      <w:pPr>
        <w:pStyle w:val="big-header"/>
        <w:ind w:left="0" w:right="1134"/>
        <w:rPr>
          <w:rFonts w:cs="FrankRuehl" w:hint="cs"/>
          <w:sz w:val="32"/>
          <w:rtl/>
        </w:rPr>
      </w:pPr>
      <w:r>
        <w:rPr>
          <w:rFonts w:cs="FrankRuehl"/>
          <w:sz w:val="32"/>
          <w:rtl/>
        </w:rPr>
        <w:t xml:space="preserve">צו מס הכנסה (פטור ממס על ריבית) (הלוואות הסוכנות היהודית </w:t>
      </w:r>
      <w:r w:rsidR="00B97360">
        <w:rPr>
          <w:rFonts w:cs="FrankRuehl" w:hint="cs"/>
          <w:sz w:val="32"/>
          <w:rtl/>
        </w:rPr>
        <w:br/>
      </w:r>
      <w:r>
        <w:rPr>
          <w:rFonts w:cs="FrankRuehl"/>
          <w:sz w:val="32"/>
          <w:rtl/>
        </w:rPr>
        <w:t>לארץ-ישראל), תשמ"ו</w:t>
      </w:r>
      <w:r w:rsidR="00B97360">
        <w:rPr>
          <w:rFonts w:cs="FrankRuehl" w:hint="cs"/>
          <w:sz w:val="32"/>
          <w:rtl/>
        </w:rPr>
        <w:t>-</w:t>
      </w:r>
      <w:r>
        <w:rPr>
          <w:rFonts w:cs="FrankRuehl"/>
          <w:sz w:val="32"/>
          <w:rtl/>
        </w:rPr>
        <w:t>1986</w:t>
      </w:r>
    </w:p>
    <w:p w:rsidR="005E3F5F" w:rsidRPr="005E3F5F" w:rsidRDefault="005E3F5F" w:rsidP="005E3F5F">
      <w:pPr>
        <w:spacing w:line="320" w:lineRule="auto"/>
        <w:rPr>
          <w:rFonts w:cs="FrankRuehl"/>
          <w:szCs w:val="26"/>
          <w:rtl/>
        </w:rPr>
      </w:pPr>
    </w:p>
    <w:p w:rsidR="005E3F5F" w:rsidRDefault="005E3F5F" w:rsidP="005E3F5F">
      <w:pPr>
        <w:spacing w:line="320" w:lineRule="auto"/>
        <w:rPr>
          <w:rtl/>
        </w:rPr>
      </w:pPr>
    </w:p>
    <w:p w:rsidR="005E3F5F" w:rsidRDefault="005E3F5F" w:rsidP="005E3F5F">
      <w:pPr>
        <w:spacing w:line="320" w:lineRule="auto"/>
        <w:rPr>
          <w:rFonts w:cs="FrankRuehl"/>
          <w:szCs w:val="26"/>
          <w:rtl/>
        </w:rPr>
      </w:pPr>
      <w:r w:rsidRPr="005E3F5F">
        <w:rPr>
          <w:rFonts w:cs="Miriam"/>
          <w:szCs w:val="22"/>
          <w:rtl/>
        </w:rPr>
        <w:t>מסים</w:t>
      </w:r>
      <w:r w:rsidRPr="005E3F5F">
        <w:rPr>
          <w:rFonts w:cs="FrankRuehl"/>
          <w:szCs w:val="26"/>
          <w:rtl/>
        </w:rPr>
        <w:t xml:space="preserve"> – מס הכנסה – פטור ממס: ריבית והצ'</w:t>
      </w:r>
    </w:p>
    <w:p w:rsidR="005E3F5F" w:rsidRDefault="005E3F5F" w:rsidP="005E3F5F">
      <w:pPr>
        <w:spacing w:line="320" w:lineRule="auto"/>
        <w:rPr>
          <w:rFonts w:cs="FrankRuehl"/>
          <w:szCs w:val="26"/>
          <w:rtl/>
        </w:rPr>
      </w:pPr>
      <w:r w:rsidRPr="005E3F5F">
        <w:rPr>
          <w:rFonts w:cs="Miriam"/>
          <w:szCs w:val="22"/>
          <w:rtl/>
        </w:rPr>
        <w:t>משפט פרטי וכלכלה</w:t>
      </w:r>
      <w:r w:rsidRPr="005E3F5F">
        <w:rPr>
          <w:rFonts w:cs="FrankRuehl"/>
          <w:szCs w:val="26"/>
          <w:rtl/>
        </w:rPr>
        <w:t xml:space="preserve"> – כספים – ריבית – מיסוי ופטור ממס</w:t>
      </w:r>
    </w:p>
    <w:p w:rsidR="00DC26B6" w:rsidRPr="005E3F5F" w:rsidRDefault="005E3F5F" w:rsidP="005E3F5F">
      <w:pPr>
        <w:spacing w:line="320" w:lineRule="auto"/>
        <w:rPr>
          <w:rFonts w:cs="Miriam"/>
          <w:szCs w:val="22"/>
          <w:rtl/>
        </w:rPr>
      </w:pPr>
      <w:r w:rsidRPr="005E3F5F">
        <w:rPr>
          <w:rFonts w:cs="Miriam"/>
          <w:szCs w:val="22"/>
          <w:rtl/>
        </w:rPr>
        <w:t>רשויות ומשפט מנהלי</w:t>
      </w:r>
      <w:r w:rsidRPr="005E3F5F">
        <w:rPr>
          <w:rFonts w:cs="FrankRuehl"/>
          <w:szCs w:val="26"/>
          <w:rtl/>
        </w:rPr>
        <w:t xml:space="preserve"> – מוסדות ציוניים – הסוכנות היהודית</w:t>
      </w:r>
    </w:p>
    <w:p w:rsidR="00E16D2A" w:rsidRDefault="00E16D2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16D2A">
        <w:tblPrEx>
          <w:tblCellMar>
            <w:top w:w="0" w:type="dxa"/>
            <w:bottom w:w="0" w:type="dxa"/>
          </w:tblCellMar>
        </w:tblPrEx>
        <w:tc>
          <w:tcPr>
            <w:tcW w:w="850" w:type="dxa"/>
          </w:tcPr>
          <w:p w:rsidR="00E16D2A" w:rsidRPr="00B97360" w:rsidRDefault="00E16D2A">
            <w:pPr>
              <w:rPr>
                <w:rFonts w:cs="FrankRuehl"/>
              </w:rPr>
            </w:pPr>
            <w:r w:rsidRPr="00B97360">
              <w:rPr>
                <w:rFonts w:cs="FrankRuehl"/>
                <w:rtl/>
              </w:rPr>
              <w:fldChar w:fldCharType="begin"/>
            </w:r>
            <w:r w:rsidRPr="00B97360">
              <w:rPr>
                <w:rFonts w:cs="FrankRuehl"/>
                <w:rtl/>
              </w:rPr>
              <w:instrText xml:space="preserve"> </w:instrText>
            </w:r>
            <w:r w:rsidRPr="00B97360">
              <w:rPr>
                <w:rFonts w:cs="FrankRuehl"/>
              </w:rPr>
              <w:instrText>PAGEREF Seif0</w:instrText>
            </w:r>
            <w:r w:rsidRPr="00B97360">
              <w:rPr>
                <w:rFonts w:cs="FrankRuehl"/>
                <w:rtl/>
              </w:rPr>
              <w:instrText xml:space="preserve"> </w:instrText>
            </w:r>
            <w:r w:rsidRPr="00B97360">
              <w:rPr>
                <w:rFonts w:cs="FrankRuehl"/>
                <w:rtl/>
              </w:rPr>
              <w:fldChar w:fldCharType="separate"/>
            </w:r>
            <w:r w:rsidR="00B97360">
              <w:rPr>
                <w:rFonts w:cs="FrankRuehl"/>
                <w:noProof/>
                <w:rtl/>
              </w:rPr>
              <w:t>2</w:t>
            </w:r>
            <w:r w:rsidRPr="00B97360">
              <w:rPr>
                <w:rFonts w:cs="FrankRuehl"/>
                <w:rtl/>
              </w:rPr>
              <w:fldChar w:fldCharType="end"/>
            </w:r>
          </w:p>
        </w:tc>
        <w:tc>
          <w:tcPr>
            <w:tcW w:w="567" w:type="dxa"/>
          </w:tcPr>
          <w:p w:rsidR="00E16D2A" w:rsidRPr="00B97360" w:rsidRDefault="00E16D2A">
            <w:pPr>
              <w:rPr>
                <w:rFonts w:cs="FrankRuehl"/>
              </w:rPr>
            </w:pPr>
            <w:hyperlink w:anchor="Seif0" w:tooltip="הגדרה" w:history="1">
              <w:r w:rsidRPr="00B97360">
                <w:rPr>
                  <w:rStyle w:val="Hyperlink"/>
                  <w:rFonts w:cs="FrankRuehl"/>
                </w:rPr>
                <w:t>Go</w:t>
              </w:r>
            </w:hyperlink>
          </w:p>
        </w:tc>
        <w:tc>
          <w:tcPr>
            <w:tcW w:w="5669" w:type="dxa"/>
          </w:tcPr>
          <w:p w:rsidR="00E16D2A" w:rsidRPr="00B97360" w:rsidRDefault="00E16D2A">
            <w:pPr>
              <w:rPr>
                <w:rFonts w:cs="FrankRuehl"/>
                <w:rtl/>
              </w:rPr>
            </w:pPr>
            <w:r w:rsidRPr="00B97360">
              <w:rPr>
                <w:rFonts w:cs="FrankRuehl"/>
                <w:rtl/>
              </w:rPr>
              <w:t>הגדרה</w:t>
            </w:r>
          </w:p>
        </w:tc>
        <w:tc>
          <w:tcPr>
            <w:tcW w:w="1247" w:type="dxa"/>
          </w:tcPr>
          <w:p w:rsidR="00E16D2A" w:rsidRPr="00B97360" w:rsidRDefault="00E16D2A">
            <w:pPr>
              <w:rPr>
                <w:rFonts w:cs="FrankRuehl"/>
              </w:rPr>
            </w:pPr>
            <w:r w:rsidRPr="00B97360">
              <w:rPr>
                <w:rFonts w:cs="FrankRuehl"/>
                <w:rtl/>
              </w:rPr>
              <w:t xml:space="preserve">סעיף 1 </w:t>
            </w:r>
          </w:p>
        </w:tc>
      </w:tr>
      <w:tr w:rsidR="00E16D2A">
        <w:tblPrEx>
          <w:tblCellMar>
            <w:top w:w="0" w:type="dxa"/>
            <w:bottom w:w="0" w:type="dxa"/>
          </w:tblCellMar>
        </w:tblPrEx>
        <w:tc>
          <w:tcPr>
            <w:tcW w:w="850" w:type="dxa"/>
          </w:tcPr>
          <w:p w:rsidR="00E16D2A" w:rsidRPr="00B97360" w:rsidRDefault="00E16D2A">
            <w:pPr>
              <w:rPr>
                <w:rFonts w:cs="FrankRuehl"/>
              </w:rPr>
            </w:pPr>
            <w:r w:rsidRPr="00B97360">
              <w:rPr>
                <w:rFonts w:cs="FrankRuehl"/>
                <w:rtl/>
              </w:rPr>
              <w:fldChar w:fldCharType="begin"/>
            </w:r>
            <w:r w:rsidRPr="00B97360">
              <w:rPr>
                <w:rFonts w:cs="FrankRuehl"/>
                <w:rtl/>
              </w:rPr>
              <w:instrText xml:space="preserve"> </w:instrText>
            </w:r>
            <w:r w:rsidRPr="00B97360">
              <w:rPr>
                <w:rFonts w:cs="FrankRuehl"/>
              </w:rPr>
              <w:instrText>PAGEREF Seif1</w:instrText>
            </w:r>
            <w:r w:rsidRPr="00B97360">
              <w:rPr>
                <w:rFonts w:cs="FrankRuehl"/>
                <w:rtl/>
              </w:rPr>
              <w:instrText xml:space="preserve"> </w:instrText>
            </w:r>
            <w:r w:rsidRPr="00B97360">
              <w:rPr>
                <w:rFonts w:cs="FrankRuehl"/>
                <w:rtl/>
              </w:rPr>
              <w:fldChar w:fldCharType="separate"/>
            </w:r>
            <w:r w:rsidR="00B97360">
              <w:rPr>
                <w:rFonts w:cs="FrankRuehl"/>
                <w:noProof/>
                <w:rtl/>
              </w:rPr>
              <w:t>2</w:t>
            </w:r>
            <w:r w:rsidRPr="00B97360">
              <w:rPr>
                <w:rFonts w:cs="FrankRuehl"/>
                <w:rtl/>
              </w:rPr>
              <w:fldChar w:fldCharType="end"/>
            </w:r>
          </w:p>
        </w:tc>
        <w:tc>
          <w:tcPr>
            <w:tcW w:w="567" w:type="dxa"/>
          </w:tcPr>
          <w:p w:rsidR="00E16D2A" w:rsidRPr="00B97360" w:rsidRDefault="00E16D2A">
            <w:pPr>
              <w:rPr>
                <w:rFonts w:cs="FrankRuehl"/>
              </w:rPr>
            </w:pPr>
            <w:hyperlink w:anchor="Seif1" w:tooltip="פטור" w:history="1">
              <w:r w:rsidRPr="00B97360">
                <w:rPr>
                  <w:rStyle w:val="Hyperlink"/>
                  <w:rFonts w:cs="FrankRuehl"/>
                </w:rPr>
                <w:t>Go</w:t>
              </w:r>
            </w:hyperlink>
          </w:p>
        </w:tc>
        <w:tc>
          <w:tcPr>
            <w:tcW w:w="5669" w:type="dxa"/>
          </w:tcPr>
          <w:p w:rsidR="00E16D2A" w:rsidRPr="00B97360" w:rsidRDefault="00E16D2A">
            <w:pPr>
              <w:rPr>
                <w:rFonts w:cs="FrankRuehl"/>
                <w:rtl/>
              </w:rPr>
            </w:pPr>
            <w:r w:rsidRPr="00B97360">
              <w:rPr>
                <w:rFonts w:cs="FrankRuehl"/>
                <w:rtl/>
              </w:rPr>
              <w:t>פטור</w:t>
            </w:r>
          </w:p>
        </w:tc>
        <w:tc>
          <w:tcPr>
            <w:tcW w:w="1247" w:type="dxa"/>
          </w:tcPr>
          <w:p w:rsidR="00E16D2A" w:rsidRPr="00B97360" w:rsidRDefault="00E16D2A">
            <w:pPr>
              <w:rPr>
                <w:rFonts w:cs="FrankRuehl"/>
              </w:rPr>
            </w:pPr>
            <w:r w:rsidRPr="00B97360">
              <w:rPr>
                <w:rFonts w:cs="FrankRuehl"/>
                <w:rtl/>
              </w:rPr>
              <w:t xml:space="preserve">סעיף 2 </w:t>
            </w:r>
          </w:p>
        </w:tc>
      </w:tr>
    </w:tbl>
    <w:p w:rsidR="00E16D2A" w:rsidRDefault="00E16D2A">
      <w:pPr>
        <w:pStyle w:val="big-header"/>
        <w:ind w:left="0" w:right="1134"/>
        <w:rPr>
          <w:rFonts w:cs="FrankRuehl"/>
          <w:sz w:val="32"/>
          <w:rtl/>
        </w:rPr>
      </w:pPr>
    </w:p>
    <w:p w:rsidR="00E16D2A" w:rsidRDefault="00E16D2A" w:rsidP="00B97360">
      <w:pPr>
        <w:pStyle w:val="big-header"/>
        <w:ind w:left="0" w:right="1134"/>
        <w:rPr>
          <w:rStyle w:val="default"/>
          <w:rFonts w:hint="cs"/>
          <w:rtl/>
        </w:rPr>
      </w:pPr>
      <w:r>
        <w:rPr>
          <w:rFonts w:cs="FrankRuehl"/>
          <w:sz w:val="32"/>
          <w:rtl/>
        </w:rPr>
        <w:br w:type="page"/>
      </w:r>
      <w:r>
        <w:rPr>
          <w:rFonts w:cs="FrankRuehl"/>
          <w:sz w:val="32"/>
          <w:rtl/>
        </w:rPr>
        <w:lastRenderedPageBreak/>
        <w:t>צו</w:t>
      </w:r>
      <w:r>
        <w:rPr>
          <w:rFonts w:cs="FrankRuehl" w:hint="cs"/>
          <w:sz w:val="32"/>
          <w:rtl/>
        </w:rPr>
        <w:t xml:space="preserve"> מס הכנסה (פטור ממס על ריבית) (הלוואות הסוכנות היהודית </w:t>
      </w:r>
      <w:r w:rsidR="00B97360">
        <w:rPr>
          <w:rFonts w:cs="FrankRuehl"/>
          <w:sz w:val="32"/>
          <w:rtl/>
        </w:rPr>
        <w:br/>
      </w:r>
      <w:r>
        <w:rPr>
          <w:rFonts w:cs="FrankRuehl" w:hint="cs"/>
          <w:sz w:val="32"/>
          <w:rtl/>
        </w:rPr>
        <w:t>לארץ-ישראל), תשמ"ו</w:t>
      </w:r>
      <w:r w:rsidR="00B97360">
        <w:rPr>
          <w:rFonts w:cs="FrankRuehl" w:hint="cs"/>
          <w:sz w:val="32"/>
          <w:rtl/>
        </w:rPr>
        <w:t>-</w:t>
      </w:r>
      <w:r>
        <w:rPr>
          <w:rFonts w:cs="FrankRuehl"/>
          <w:sz w:val="32"/>
          <w:rtl/>
        </w:rPr>
        <w:t>1986</w:t>
      </w:r>
      <w:r w:rsidR="00B97360">
        <w:rPr>
          <w:rStyle w:val="a6"/>
          <w:rFonts w:cs="FrankRuehl"/>
          <w:sz w:val="32"/>
          <w:rtl/>
        </w:rPr>
        <w:footnoteReference w:customMarkFollows="1" w:id="1"/>
        <w:t>*</w:t>
      </w:r>
    </w:p>
    <w:p w:rsidR="00E16D2A" w:rsidRPr="00DC26B6" w:rsidRDefault="00E16D2A">
      <w:pPr>
        <w:pStyle w:val="P00"/>
        <w:spacing w:before="72"/>
        <w:ind w:left="0" w:right="1134"/>
        <w:rPr>
          <w:rStyle w:val="default"/>
          <w:rFonts w:cs="FrankRuehl"/>
          <w:rtl/>
        </w:rPr>
      </w:pPr>
      <w:r w:rsidRPr="00DC26B6">
        <w:rPr>
          <w:rFonts w:cs="FrankRuehl"/>
          <w:sz w:val="26"/>
          <w:rtl/>
        </w:rPr>
        <w:tab/>
      </w:r>
      <w:r w:rsidRPr="00DC26B6">
        <w:rPr>
          <w:rStyle w:val="default"/>
          <w:rFonts w:cs="FrankRuehl"/>
          <w:rtl/>
        </w:rPr>
        <w:t>בתוקף סמכותי לפי סעיף 15 לפקודת מס הכנסה, ובאישור ועדת הכספים של הכנסת, אני מצווה לאמור:</w:t>
      </w:r>
    </w:p>
    <w:p w:rsidR="00E16D2A" w:rsidRDefault="00E16D2A">
      <w:pPr>
        <w:pStyle w:val="P00"/>
        <w:spacing w:before="72"/>
        <w:ind w:left="0" w:right="1134"/>
        <w:rPr>
          <w:rStyle w:val="default"/>
          <w:rFonts w:hint="cs"/>
          <w:rtl/>
        </w:rPr>
      </w:pPr>
      <w:bookmarkStart w:id="0" w:name="Seif0"/>
      <w:bookmarkEnd w:id="0"/>
      <w:r w:rsidRPr="00B97360">
        <w:rPr>
          <w:rFonts w:cs="Miriam"/>
          <w:lang w:val="he-IL"/>
        </w:rPr>
        <w:pict>
          <v:rect id="_x0000_s1026" style="position:absolute;left:0;text-align:left;margin-left:464.5pt;margin-top:8.05pt;width:75.05pt;height:9pt;z-index:251657216" o:allowincell="f" filled="f" stroked="f" strokecolor="lime" strokeweight=".25pt">
            <v:textbox inset="0,0,0,0">
              <w:txbxContent>
                <w:p w:rsidR="00E16D2A" w:rsidRDefault="00E16D2A">
                  <w:pPr>
                    <w:spacing w:line="160" w:lineRule="exac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sidRPr="00B97360">
        <w:rPr>
          <w:rStyle w:val="big-number"/>
          <w:rFonts w:cs="Miriam"/>
          <w:rtl/>
        </w:rPr>
        <w:t>1</w:t>
      </w:r>
      <w:r>
        <w:rPr>
          <w:rStyle w:val="big-number"/>
          <w:rtl/>
        </w:rPr>
        <w:t>.</w:t>
      </w:r>
      <w:r w:rsidRPr="00DC26B6">
        <w:rPr>
          <w:rStyle w:val="big-number"/>
          <w:rFonts w:cs="FrankRuehl"/>
          <w:rtl/>
        </w:rPr>
        <w:tab/>
      </w:r>
      <w:r w:rsidRPr="00DC26B6">
        <w:rPr>
          <w:rStyle w:val="default"/>
          <w:rFonts w:cs="FrankRuehl"/>
          <w:rtl/>
        </w:rPr>
        <w:t xml:space="preserve">בצו זה </w:t>
      </w:r>
      <w:r w:rsidR="00B97360">
        <w:rPr>
          <w:rStyle w:val="default"/>
          <w:rtl/>
        </w:rPr>
        <w:t>–</w:t>
      </w:r>
    </w:p>
    <w:p w:rsidR="00E16D2A" w:rsidRPr="00DC26B6" w:rsidRDefault="00E16D2A" w:rsidP="00B97360">
      <w:pPr>
        <w:pStyle w:val="P00"/>
        <w:spacing w:before="72"/>
        <w:ind w:left="0" w:right="1134"/>
        <w:rPr>
          <w:rStyle w:val="default"/>
          <w:rFonts w:cs="FrankRuehl"/>
          <w:rtl/>
        </w:rPr>
      </w:pPr>
      <w:r w:rsidRPr="00DC26B6">
        <w:rPr>
          <w:rFonts w:cs="FrankRuehl"/>
          <w:sz w:val="26"/>
          <w:rtl/>
        </w:rPr>
        <w:tab/>
      </w:r>
      <w:r w:rsidRPr="00DC26B6">
        <w:rPr>
          <w:rStyle w:val="default"/>
          <w:rFonts w:cs="FrankRuehl"/>
          <w:rtl/>
        </w:rPr>
        <w:t xml:space="preserve">"הלוואות" </w:t>
      </w:r>
      <w:r w:rsidR="00B97360">
        <w:rPr>
          <w:rStyle w:val="default"/>
          <w:rFonts w:hint="cs"/>
          <w:rtl/>
        </w:rPr>
        <w:t>-</w:t>
      </w:r>
      <w:r w:rsidRPr="00DC26B6">
        <w:rPr>
          <w:rStyle w:val="default"/>
          <w:rFonts w:cs="FrankRuehl"/>
          <w:rtl/>
        </w:rPr>
        <w:t xml:space="preserve"> הלוואות שתקבל הסוכנות היהודית לארץ-ישראל (להלן </w:t>
      </w:r>
      <w:r w:rsidR="00B97360">
        <w:rPr>
          <w:rStyle w:val="default"/>
          <w:rFonts w:hint="cs"/>
          <w:rtl/>
        </w:rPr>
        <w:t>-</w:t>
      </w:r>
      <w:r w:rsidRPr="00DC26B6">
        <w:rPr>
          <w:rStyle w:val="default"/>
          <w:rFonts w:cs="FrankRuehl"/>
          <w:rtl/>
        </w:rPr>
        <w:t xml:space="preserve"> הסוכנות) מבנקים בחוץ לארץ (להלן </w:t>
      </w:r>
      <w:r w:rsidR="00B97360">
        <w:rPr>
          <w:rStyle w:val="default"/>
          <w:rFonts w:hint="cs"/>
          <w:rtl/>
        </w:rPr>
        <w:t>-</w:t>
      </w:r>
      <w:r w:rsidRPr="00DC26B6">
        <w:rPr>
          <w:rStyle w:val="default"/>
          <w:rFonts w:cs="FrankRuehl"/>
          <w:rtl/>
        </w:rPr>
        <w:t xml:space="preserve"> המלווה), בשנות המס 1986 עד 1990 שסכומן הכולל בכל שנה משנות המס האמורות לא יעלה על 100 מיליון דולרים של ארצות הברית של אמריקה, והכל בהתאם לאישורו של הממונה על הכנסות המדינה שבמשרד האוצר.</w:t>
      </w:r>
    </w:p>
    <w:p w:rsidR="00E16D2A" w:rsidRDefault="00E16D2A">
      <w:pPr>
        <w:pStyle w:val="P00"/>
        <w:spacing w:before="72"/>
        <w:ind w:left="0" w:right="1134"/>
        <w:rPr>
          <w:rStyle w:val="default"/>
          <w:rtl/>
        </w:rPr>
      </w:pPr>
      <w:bookmarkStart w:id="1" w:name="Seif1"/>
      <w:bookmarkEnd w:id="1"/>
      <w:r w:rsidRPr="00B97360">
        <w:rPr>
          <w:rFonts w:cs="Miriam"/>
          <w:lang w:val="he-IL"/>
        </w:rPr>
        <w:pict>
          <v:rect id="_x0000_s1027" style="position:absolute;left:0;text-align:left;margin-left:464.5pt;margin-top:8.05pt;width:75.05pt;height:11.95pt;z-index:251658240" o:allowincell="f" filled="f" stroked="f" strokecolor="lime" strokeweight=".25pt">
            <v:textbox inset="0,0,0,0">
              <w:txbxContent>
                <w:p w:rsidR="00E16D2A" w:rsidRDefault="00E16D2A">
                  <w:pPr>
                    <w:spacing w:line="160" w:lineRule="exac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sidRPr="00B97360">
        <w:rPr>
          <w:rStyle w:val="big-number"/>
          <w:rFonts w:cs="Miriam"/>
          <w:rtl/>
        </w:rPr>
        <w:t>2</w:t>
      </w:r>
      <w:r>
        <w:rPr>
          <w:rStyle w:val="big-number"/>
          <w:rtl/>
        </w:rPr>
        <w:t>.</w:t>
      </w:r>
      <w:r w:rsidRPr="00DC26B6">
        <w:rPr>
          <w:rStyle w:val="big-number"/>
          <w:rFonts w:cs="FrankRuehl"/>
          <w:rtl/>
        </w:rPr>
        <w:tab/>
      </w:r>
      <w:r w:rsidRPr="00DC26B6">
        <w:rPr>
          <w:rStyle w:val="default"/>
          <w:rFonts w:cs="FrankRuehl"/>
          <w:rtl/>
        </w:rPr>
        <w:t>הכנסה מריבית שמשלמת הסוכנות למלווה על ההלוואות תהא פטורה ממס.</w:t>
      </w:r>
    </w:p>
    <w:p w:rsidR="00E16D2A" w:rsidRPr="00B97360" w:rsidRDefault="00E16D2A">
      <w:pPr>
        <w:pStyle w:val="P00"/>
        <w:spacing w:before="72"/>
        <w:ind w:left="0" w:right="1134"/>
        <w:rPr>
          <w:rStyle w:val="default"/>
          <w:rFonts w:cs="FrankRuehl" w:hint="cs"/>
          <w:rtl/>
        </w:rPr>
      </w:pPr>
    </w:p>
    <w:p w:rsidR="00B97360" w:rsidRPr="00B97360" w:rsidRDefault="00B97360">
      <w:pPr>
        <w:pStyle w:val="P00"/>
        <w:spacing w:before="72"/>
        <w:ind w:left="0" w:right="1134"/>
        <w:rPr>
          <w:rStyle w:val="default"/>
          <w:rFonts w:cs="FrankRuehl" w:hint="cs"/>
          <w:rtl/>
        </w:rPr>
      </w:pPr>
    </w:p>
    <w:p w:rsidR="00E16D2A" w:rsidRDefault="00E16D2A">
      <w:pPr>
        <w:pStyle w:val="sig-0"/>
        <w:ind w:left="0" w:right="1134"/>
        <w:rPr>
          <w:rFonts w:cs="FrankRuehl"/>
          <w:sz w:val="26"/>
          <w:rtl/>
        </w:rPr>
      </w:pPr>
      <w:r>
        <w:rPr>
          <w:rFonts w:cs="FrankRuehl"/>
          <w:sz w:val="26"/>
          <w:rtl/>
        </w:rPr>
        <w:t>י"</w:t>
      </w:r>
      <w:r>
        <w:rPr>
          <w:rFonts w:cs="FrankRuehl" w:hint="cs"/>
          <w:sz w:val="26"/>
          <w:rtl/>
        </w:rPr>
        <w:t>א באייר תשמ"ו (20 במאי 1986)</w:t>
      </w:r>
      <w:r>
        <w:rPr>
          <w:rFonts w:cs="FrankRuehl"/>
          <w:sz w:val="26"/>
          <w:rtl/>
        </w:rPr>
        <w:tab/>
        <w:t>מ</w:t>
      </w:r>
      <w:r>
        <w:rPr>
          <w:rFonts w:cs="FrankRuehl" w:hint="cs"/>
          <w:sz w:val="26"/>
          <w:rtl/>
        </w:rPr>
        <w:t>שה נסים</w:t>
      </w:r>
    </w:p>
    <w:p w:rsidR="00E16D2A" w:rsidRDefault="00E16D2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B97360" w:rsidRPr="00B97360" w:rsidRDefault="00B97360" w:rsidP="00B97360">
      <w:pPr>
        <w:pStyle w:val="P00"/>
        <w:spacing w:before="72"/>
        <w:ind w:left="0" w:right="1134"/>
        <w:rPr>
          <w:rStyle w:val="default"/>
          <w:rFonts w:cs="FrankRuehl" w:hint="cs"/>
          <w:rtl/>
        </w:rPr>
      </w:pPr>
    </w:p>
    <w:p w:rsidR="00B97360" w:rsidRPr="00B97360" w:rsidRDefault="00B97360" w:rsidP="00B97360">
      <w:pPr>
        <w:pStyle w:val="P00"/>
        <w:spacing w:before="72"/>
        <w:ind w:left="0" w:right="1134"/>
        <w:rPr>
          <w:rStyle w:val="default"/>
          <w:rFonts w:cs="FrankRuehl"/>
          <w:rtl/>
        </w:rPr>
      </w:pPr>
    </w:p>
    <w:p w:rsidR="00E16D2A" w:rsidRPr="00B97360" w:rsidRDefault="00E16D2A" w:rsidP="00B97360">
      <w:pPr>
        <w:pStyle w:val="P00"/>
        <w:spacing w:before="72"/>
        <w:ind w:left="0" w:right="1134"/>
        <w:rPr>
          <w:rStyle w:val="default"/>
          <w:rFonts w:cs="FrankRuehl"/>
          <w:rtl/>
        </w:rPr>
      </w:pPr>
      <w:bookmarkStart w:id="2" w:name="LawPartEnd"/>
    </w:p>
    <w:bookmarkEnd w:id="2"/>
    <w:p w:rsidR="00E16D2A" w:rsidRPr="00B97360" w:rsidRDefault="00E16D2A" w:rsidP="00B97360">
      <w:pPr>
        <w:pStyle w:val="P00"/>
        <w:spacing w:before="72"/>
        <w:ind w:left="0" w:right="1134"/>
        <w:rPr>
          <w:rStyle w:val="default"/>
          <w:rFonts w:cs="FrankRuehl"/>
          <w:rtl/>
        </w:rPr>
      </w:pPr>
    </w:p>
    <w:sectPr w:rsidR="00E16D2A" w:rsidRPr="00B9736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3479" w:rsidRDefault="00E43479">
      <w:r>
        <w:separator/>
      </w:r>
    </w:p>
  </w:endnote>
  <w:endnote w:type="continuationSeparator" w:id="0">
    <w:p w:rsidR="00E43479" w:rsidRDefault="00E4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D2A" w:rsidRDefault="00E16D2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E16D2A" w:rsidRDefault="00E16D2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16D2A" w:rsidRDefault="00E16D2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7360">
      <w:rPr>
        <w:rFonts w:cs="TopType Jerushalmi"/>
        <w:noProof/>
        <w:color w:val="000000"/>
        <w:sz w:val="14"/>
        <w:szCs w:val="14"/>
      </w:rPr>
      <w:t>D:\Yael\hakika\Revadim</w:t>
    </w:r>
    <w:r w:rsidR="00B97360">
      <w:rPr>
        <w:rFonts w:cs="TopType Jerushalmi"/>
        <w:noProof/>
        <w:color w:val="000000"/>
        <w:sz w:val="14"/>
        <w:szCs w:val="14"/>
        <w:rtl/>
      </w:rPr>
      <w:t>\קבצים ששונו בהם הערות השוליים בלבד\255_297.</w:t>
    </w:r>
    <w:r w:rsidR="00B97360">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D2A" w:rsidRDefault="00E16D2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5E3F5F">
      <w:rPr>
        <w:rFonts w:hAnsi="FrankRuehl" w:cs="FrankRuehl"/>
        <w:noProof/>
        <w:rtl/>
      </w:rPr>
      <w:t>2</w:t>
    </w:r>
    <w:r>
      <w:rPr>
        <w:rFonts w:hAnsi="FrankRuehl" w:cs="FrankRuehl"/>
        <w:rtl/>
      </w:rPr>
      <w:fldChar w:fldCharType="end"/>
    </w:r>
  </w:p>
  <w:p w:rsidR="00E16D2A" w:rsidRDefault="00E16D2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16D2A" w:rsidRDefault="00E16D2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7360">
      <w:rPr>
        <w:rFonts w:cs="TopType Jerushalmi"/>
        <w:noProof/>
        <w:color w:val="000000"/>
        <w:sz w:val="14"/>
        <w:szCs w:val="14"/>
      </w:rPr>
      <w:t>D:\Yael\hakika\Revadim</w:t>
    </w:r>
    <w:r w:rsidR="00B97360">
      <w:rPr>
        <w:rFonts w:cs="TopType Jerushalmi"/>
        <w:noProof/>
        <w:color w:val="000000"/>
        <w:sz w:val="14"/>
        <w:szCs w:val="14"/>
        <w:rtl/>
      </w:rPr>
      <w:t>\קבצים ששונו בהם הערות השוליים בלבד\255_297.</w:t>
    </w:r>
    <w:r w:rsidR="00B97360">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3479" w:rsidRDefault="00E43479" w:rsidP="00B97360">
      <w:pPr>
        <w:spacing w:before="60"/>
        <w:ind w:right="1134"/>
      </w:pPr>
      <w:r>
        <w:separator/>
      </w:r>
    </w:p>
  </w:footnote>
  <w:footnote w:type="continuationSeparator" w:id="0">
    <w:p w:rsidR="00E43479" w:rsidRDefault="00E43479">
      <w:r>
        <w:continuationSeparator/>
      </w:r>
    </w:p>
  </w:footnote>
  <w:footnote w:id="1">
    <w:p w:rsidR="00B97360" w:rsidRPr="00B97360" w:rsidRDefault="00B97360" w:rsidP="00B97360">
      <w:pPr>
        <w:pStyle w:val="P00"/>
        <w:spacing w:before="72"/>
        <w:ind w:left="0" w:right="1134"/>
        <w:rPr>
          <w:rFonts w:cs="FrankRuehl" w:hint="cs"/>
          <w:sz w:val="22"/>
          <w:szCs w:val="22"/>
          <w:rtl/>
        </w:rPr>
      </w:pPr>
      <w:r w:rsidRPr="00B97360">
        <w:rPr>
          <w:rFonts w:cs="FrankRuehl"/>
          <w:sz w:val="22"/>
          <w:szCs w:val="22"/>
          <w:rtl/>
        </w:rPr>
        <w:t xml:space="preserve">* </w:t>
      </w:r>
      <w:r w:rsidRPr="003B526B">
        <w:rPr>
          <w:rFonts w:cs="FrankRuehl" w:hint="cs"/>
          <w:sz w:val="22"/>
          <w:szCs w:val="22"/>
          <w:rtl/>
        </w:rPr>
        <w:t xml:space="preserve">פורסם </w:t>
      </w:r>
      <w:hyperlink r:id="rId1" w:history="1">
        <w:r w:rsidRPr="003B526B">
          <w:rPr>
            <w:rStyle w:val="Hyperlink"/>
            <w:rFonts w:cs="FrankRuehl" w:hint="cs"/>
            <w:sz w:val="22"/>
            <w:szCs w:val="22"/>
            <w:rtl/>
          </w:rPr>
          <w:t>ק"ת תשמ"ו מס' 4942</w:t>
        </w:r>
      </w:hyperlink>
      <w:r w:rsidRPr="003B526B">
        <w:rPr>
          <w:rFonts w:cs="FrankRuehl" w:hint="cs"/>
          <w:sz w:val="22"/>
          <w:szCs w:val="22"/>
          <w:rtl/>
        </w:rPr>
        <w:t xml:space="preserve"> מיום 19.6.1986 עמ' 1036</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D2A" w:rsidRDefault="00E16D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(פטור ממס על ריבית) (הלוואות הסוכנות היהודית לארץ-ישראל), תשמ"ו–1986</w:t>
    </w:r>
  </w:p>
  <w:p w:rsidR="00E16D2A" w:rsidRDefault="00E16D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16D2A" w:rsidRDefault="00E16D2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D2A" w:rsidRDefault="00E16D2A" w:rsidP="00B9736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צו מס הכנסה (פטור ממס על ריבית) (הלוואות הסוכנות היהודית לארץ-ישראל), </w:t>
    </w:r>
    <w:r w:rsidR="00B97360">
      <w:rPr>
        <w:rFonts w:hAnsi="FrankRuehl" w:cs="FrankRuehl" w:hint="cs"/>
        <w:color w:val="000000"/>
        <w:sz w:val="28"/>
        <w:szCs w:val="28"/>
        <w:rtl/>
      </w:rPr>
      <w:br/>
    </w:r>
    <w:r>
      <w:rPr>
        <w:rFonts w:hAnsi="FrankRuehl" w:cs="FrankRuehl"/>
        <w:color w:val="000000"/>
        <w:sz w:val="28"/>
        <w:szCs w:val="28"/>
        <w:rtl/>
      </w:rPr>
      <w:t>תשמ"ו</w:t>
    </w:r>
    <w:r w:rsidR="00B97360">
      <w:rPr>
        <w:rFonts w:hAnsi="FrankRuehl" w:cs="FrankRuehl" w:hint="cs"/>
        <w:color w:val="000000"/>
        <w:sz w:val="28"/>
        <w:szCs w:val="28"/>
        <w:rtl/>
      </w:rPr>
      <w:t>-</w:t>
    </w:r>
    <w:r>
      <w:rPr>
        <w:rFonts w:hAnsi="FrankRuehl" w:cs="FrankRuehl"/>
        <w:color w:val="000000"/>
        <w:sz w:val="28"/>
        <w:szCs w:val="28"/>
        <w:rtl/>
      </w:rPr>
      <w:t>1986</w:t>
    </w:r>
  </w:p>
  <w:p w:rsidR="00E16D2A" w:rsidRDefault="00E16D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16D2A" w:rsidRDefault="00E16D2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26B6"/>
    <w:rsid w:val="00047B33"/>
    <w:rsid w:val="002E5348"/>
    <w:rsid w:val="003B526B"/>
    <w:rsid w:val="005E3F5F"/>
    <w:rsid w:val="00732030"/>
    <w:rsid w:val="008005FE"/>
    <w:rsid w:val="00A2533A"/>
    <w:rsid w:val="00B97360"/>
    <w:rsid w:val="00DC26B6"/>
    <w:rsid w:val="00E16D2A"/>
    <w:rsid w:val="00E329C9"/>
    <w:rsid w:val="00E43479"/>
    <w:rsid w:val="00F762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6AF36B5-4DF4-43B4-9538-D7A00E12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B97360"/>
    <w:rPr>
      <w:sz w:val="20"/>
      <w:szCs w:val="20"/>
    </w:rPr>
  </w:style>
  <w:style w:type="character" w:styleId="a6">
    <w:name w:val="footnote reference"/>
    <w:basedOn w:val="a0"/>
    <w:semiHidden/>
    <w:rsid w:val="00B973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983</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7929859</vt:i4>
      </vt:variant>
      <vt:variant>
        <vt:i4>0</vt:i4>
      </vt:variant>
      <vt:variant>
        <vt:i4>0</vt:i4>
      </vt:variant>
      <vt:variant>
        <vt:i4>5</vt:i4>
      </vt:variant>
      <vt:variant>
        <vt:lpwstr>http://www.nevo.co.il/Law_word/law06/TAK-4942.pdf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(פטור ממס על ריבית) (הלוואות הסוכנות היהודית לארץ-ישראל), תשמ"ו-1986</vt:lpwstr>
  </property>
  <property fmtid="{D5CDD505-2E9C-101B-9397-08002B2CF9AE}" pid="5" name="LAWNUMBER">
    <vt:lpwstr>0297</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פטור ממס: ריבית והצ'</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ריבית</vt:lpwstr>
  </property>
  <property fmtid="{D5CDD505-2E9C-101B-9397-08002B2CF9AE}" pid="14" name="NOSE42">
    <vt:lpwstr>מיסוי ופטור ממס</vt:lpwstr>
  </property>
  <property fmtid="{D5CDD505-2E9C-101B-9397-08002B2CF9AE}" pid="15" name="NOSE13">
    <vt:lpwstr>רשויות ומשפט מנהלי</vt:lpwstr>
  </property>
  <property fmtid="{D5CDD505-2E9C-101B-9397-08002B2CF9AE}" pid="16" name="NOSE23">
    <vt:lpwstr>מוסדות ציוניים</vt:lpwstr>
  </property>
  <property fmtid="{D5CDD505-2E9C-101B-9397-08002B2CF9AE}" pid="17" name="NOSE33">
    <vt:lpwstr>הסוכנות היהודית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vt:lpwstr>
  </property>
  <property fmtid="{D5CDD505-2E9C-101B-9397-08002B2CF9AE}" pid="48" name="MEKOR_SAIF1">
    <vt:lpwstr>15X</vt:lpwstr>
  </property>
</Properties>
</file>