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2CF" w:rsidRDefault="00D372CF" w:rsidP="00F63F2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צו מס הכנסה (פטור ממס על תקבולי ביטוח סוציאלי מחוץ לישראל), </w:t>
      </w:r>
      <w:r w:rsidR="00F63F28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תשל"ז</w:t>
      </w:r>
      <w:r w:rsidR="00F63F2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:rsidR="00A4720E" w:rsidRDefault="00A4720E" w:rsidP="00A4720E">
      <w:pPr>
        <w:spacing w:line="320" w:lineRule="auto"/>
        <w:rPr>
          <w:rtl/>
        </w:rPr>
      </w:pPr>
    </w:p>
    <w:p w:rsidR="00A4720E" w:rsidRPr="00A4720E" w:rsidRDefault="00A4720E" w:rsidP="00A4720E">
      <w:pPr>
        <w:spacing w:line="320" w:lineRule="auto"/>
        <w:rPr>
          <w:rFonts w:cs="Miriam"/>
          <w:szCs w:val="22"/>
          <w:rtl/>
        </w:rPr>
      </w:pPr>
      <w:r w:rsidRPr="00A4720E">
        <w:rPr>
          <w:rFonts w:cs="Miriam"/>
          <w:szCs w:val="22"/>
          <w:rtl/>
        </w:rPr>
        <w:t>מסים</w:t>
      </w:r>
      <w:r w:rsidRPr="00A4720E">
        <w:rPr>
          <w:rFonts w:cs="FrankRuehl"/>
          <w:szCs w:val="26"/>
          <w:rtl/>
        </w:rPr>
        <w:t xml:space="preserve"> – מס הכנסה – פטור ממס: כללי</w:t>
      </w:r>
    </w:p>
    <w:p w:rsidR="00D372CF" w:rsidRDefault="00D372C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C0C48" w:rsidRPr="006C0C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6C0C48" w:rsidRPr="006C0C48" w:rsidRDefault="006C0C48" w:rsidP="006C0C48">
            <w:pPr>
              <w:rPr>
                <w:rStyle w:val="Hyperlink"/>
                <w:rtl/>
              </w:rPr>
            </w:pPr>
            <w:hyperlink w:anchor="Seif1" w:tooltip="הגדרות" w:history="1">
              <w:r w:rsidRPr="006C0C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0C48" w:rsidRPr="006C0C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567" w:type="dxa"/>
          </w:tcPr>
          <w:p w:rsidR="006C0C48" w:rsidRPr="006C0C48" w:rsidRDefault="006C0C48" w:rsidP="006C0C48">
            <w:pPr>
              <w:rPr>
                <w:rStyle w:val="Hyperlink"/>
                <w:rtl/>
              </w:rPr>
            </w:pPr>
            <w:hyperlink w:anchor="Seif2" w:tooltip="פטור" w:history="1">
              <w:r w:rsidRPr="006C0C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0C48" w:rsidRPr="006C0C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6C0C48" w:rsidRPr="006C0C48" w:rsidRDefault="006C0C48" w:rsidP="006C0C48">
            <w:pPr>
              <w:rPr>
                <w:rStyle w:val="Hyperlink"/>
                <w:rtl/>
              </w:rPr>
            </w:pPr>
            <w:hyperlink w:anchor="Seif3" w:tooltip="תחילה" w:history="1">
              <w:r w:rsidRPr="006C0C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0C48" w:rsidRPr="006C0C4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6C0C48" w:rsidRPr="006C0C48" w:rsidRDefault="006C0C48" w:rsidP="006C0C48">
            <w:pPr>
              <w:rPr>
                <w:rStyle w:val="Hyperlink"/>
                <w:rtl/>
              </w:rPr>
            </w:pPr>
            <w:hyperlink w:anchor="Seif4" w:tooltip="השם" w:history="1">
              <w:r w:rsidRPr="006C0C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0C48" w:rsidRPr="006C0C48" w:rsidRDefault="006C0C48" w:rsidP="006C0C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372CF" w:rsidRDefault="00D372CF">
      <w:pPr>
        <w:pStyle w:val="big-header"/>
        <w:ind w:left="0" w:right="1134"/>
        <w:rPr>
          <w:rFonts w:cs="FrankRuehl"/>
          <w:sz w:val="32"/>
          <w:rtl/>
        </w:rPr>
      </w:pPr>
    </w:p>
    <w:p w:rsidR="00D372CF" w:rsidRDefault="00D372CF" w:rsidP="00A4720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מ</w:t>
      </w:r>
      <w:r>
        <w:rPr>
          <w:rFonts w:cs="FrankRuehl"/>
          <w:sz w:val="32"/>
          <w:rtl/>
        </w:rPr>
        <w:t>ס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כנסה (פטור ממס על תקבולי ביטוח סוציאלי מחוץ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ל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>ש</w:t>
      </w:r>
      <w:r>
        <w:rPr>
          <w:rFonts w:cs="FrankRuehl"/>
          <w:sz w:val="32"/>
          <w:rtl/>
        </w:rPr>
        <w:t>ר</w:t>
      </w:r>
      <w:r>
        <w:rPr>
          <w:rFonts w:cs="FrankRuehl" w:hint="cs"/>
          <w:sz w:val="32"/>
          <w:rtl/>
        </w:rPr>
        <w:t>א</w:t>
      </w:r>
      <w:r>
        <w:rPr>
          <w:rFonts w:cs="FrankRuehl"/>
          <w:sz w:val="32"/>
          <w:rtl/>
        </w:rPr>
        <w:t>ל</w:t>
      </w:r>
      <w:r>
        <w:rPr>
          <w:rFonts w:cs="FrankRuehl" w:hint="cs"/>
          <w:sz w:val="32"/>
          <w:rtl/>
        </w:rPr>
        <w:t xml:space="preserve">), </w:t>
      </w:r>
      <w:r w:rsidR="00F63F28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תשל"ז</w:t>
      </w:r>
      <w:r w:rsidR="00F63F28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1976</w:t>
      </w:r>
      <w:r w:rsidR="00F63F28">
        <w:rPr>
          <w:rStyle w:val="a6"/>
          <w:rFonts w:cs="FrankRuehl"/>
          <w:sz w:val="32"/>
          <w:rtl/>
        </w:rPr>
        <w:footnoteReference w:customMarkFollows="1" w:id="1"/>
        <w:t>*</w:t>
      </w:r>
      <w:r w:rsidR="00F63F28">
        <w:rPr>
          <w:rStyle w:val="a6"/>
          <w:rFonts w:cs="FrankRuehl"/>
          <w:sz w:val="26"/>
          <w:szCs w:val="26"/>
          <w:rtl/>
        </w:rPr>
        <w:footnoteReference w:id="2"/>
      </w:r>
    </w:p>
    <w:p w:rsidR="00D372CF" w:rsidRDefault="00D372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מכותי לפי סעיף 14 לפקודת מס הכנסה, ובאישור ועדת הכספים של הכנסת לפי סעיף 1(ב) לחוק-יסוד: משק המדינה, אני מצווה לאמור:</w:t>
      </w:r>
    </w:p>
    <w:p w:rsidR="00D372CF" w:rsidRDefault="00D372CF" w:rsidP="00F63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F63F28">
        <w:rPr>
          <w:rFonts w:cs="Miriam"/>
          <w:lang w:val="he-IL"/>
        </w:rPr>
        <w:pict>
          <v:rect id="_x0000_s1026" style="position:absolute;left:0;text-align:left;margin-left:464.5pt;margin-top:8.05pt;width:75.05pt;height:16.2pt;z-index:251656192" o:allowincell="f" filled="f" stroked="f" strokecolor="lime" strokeweight=".25pt">
            <v:textbox style="mso-next-textbox:#_x0000_s1026" inset="0,0,0,0">
              <w:txbxContent>
                <w:p w:rsidR="00D372CF" w:rsidRDefault="00D372C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 w:rsidRPr="00F63F28">
        <w:rPr>
          <w:rStyle w:val="big-number"/>
          <w:rFonts w:cs="Miriam"/>
          <w:rtl/>
        </w:rPr>
        <w:t>1</w:t>
      </w:r>
      <w:r w:rsidRPr="00F63F28">
        <w:rPr>
          <w:rStyle w:val="big-number"/>
          <w:rFonts w:cs="FrankRuehl"/>
          <w:sz w:val="26"/>
          <w:szCs w:val="26"/>
          <w:rtl/>
        </w:rPr>
        <w:t>.</w:t>
      </w:r>
      <w:r w:rsidRPr="00F63F28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, "</w:t>
      </w:r>
      <w:r>
        <w:rPr>
          <w:rStyle w:val="default"/>
          <w:rFonts w:cs="FrankRuehl" w:hint="cs"/>
          <w:rtl/>
        </w:rPr>
        <w:t xml:space="preserve">תקבולי ביטוח סוציאלי" </w:t>
      </w:r>
      <w:r w:rsidR="00F63F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ביטוח סוציאלי המתקבלים בישראל מרשויות מדינה זרה ואי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ים מכח דין במס במדינה המשלמת, למעט תקבולים כאמור שאינם חייבים במס מכח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ה שבה נקבע כי </w:t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קבולים חייבים במס בארץ המושב בלבד.</w:t>
      </w:r>
    </w:p>
    <w:p w:rsidR="00D372CF" w:rsidRDefault="00D372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F63F28">
        <w:rPr>
          <w:rFonts w:cs="Miriam"/>
          <w:lang w:val="he-IL"/>
        </w:rPr>
        <w:pict>
          <v:rect id="_x0000_s1027" style="position:absolute;left:0;text-align:left;margin-left:464.5pt;margin-top:8.05pt;width:75.05pt;height:15.6pt;z-index:251657216" o:allowincell="f" filled="f" stroked="f" strokecolor="lime" strokeweight=".25pt">
            <v:textbox style="mso-next-textbox:#_x0000_s1027" inset="0,0,0,0">
              <w:txbxContent>
                <w:p w:rsidR="00D372CF" w:rsidRDefault="00D372C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 w:rsidRPr="00F63F28">
        <w:rPr>
          <w:rStyle w:val="big-number"/>
          <w:rFonts w:cs="Miriam"/>
          <w:rtl/>
        </w:rPr>
        <w:t>2</w:t>
      </w:r>
      <w:r w:rsidRPr="00F63F28">
        <w:rPr>
          <w:rStyle w:val="big-number"/>
          <w:rFonts w:cs="FrankRuehl"/>
          <w:sz w:val="26"/>
          <w:szCs w:val="26"/>
          <w:rtl/>
        </w:rPr>
        <w:t>.</w:t>
      </w:r>
      <w:r w:rsidRPr="00F63F28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ראל המקבל תקבולי ביטוח סוציאלי פטור עליהם ממ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.</w:t>
      </w:r>
    </w:p>
    <w:p w:rsidR="00D372CF" w:rsidRDefault="00D372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F63F28">
        <w:rPr>
          <w:rFonts w:cs="Miriam"/>
          <w:lang w:val="he-IL"/>
        </w:rPr>
        <w:pict>
          <v:rect id="_x0000_s1028" style="position:absolute;left:0;text-align:left;margin-left:464.5pt;margin-top:8.05pt;width:75.05pt;height:9pt;z-index:251658240" o:allowincell="f" filled="f" stroked="f" strokecolor="lime" strokeweight=".25pt">
            <v:textbox style="mso-next-textbox:#_x0000_s1028" inset="0,0,0,0">
              <w:txbxContent>
                <w:p w:rsidR="00D372CF" w:rsidRDefault="00D372C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F63F28">
        <w:rPr>
          <w:rStyle w:val="big-number"/>
          <w:rFonts w:cs="Miriam"/>
          <w:rtl/>
        </w:rPr>
        <w:t>3</w:t>
      </w:r>
      <w:r w:rsidRPr="00F63F28">
        <w:rPr>
          <w:rStyle w:val="big-number"/>
          <w:rFonts w:cs="FrankRuehl"/>
          <w:sz w:val="26"/>
          <w:szCs w:val="26"/>
          <w:rtl/>
        </w:rPr>
        <w:t>.</w:t>
      </w:r>
      <w:r w:rsidRPr="00F63F28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צו זה מיום כ' בניסן תשל"ה (1 באפריל 19</w:t>
      </w:r>
      <w:r>
        <w:rPr>
          <w:rStyle w:val="default"/>
          <w:rFonts w:cs="FrankRuehl"/>
          <w:rtl/>
        </w:rPr>
        <w:t>75).</w:t>
      </w:r>
    </w:p>
    <w:p w:rsidR="00D372CF" w:rsidRDefault="00D372CF" w:rsidP="00F63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 w:rsidRPr="00F63F28">
        <w:rPr>
          <w:rFonts w:cs="Miriam"/>
          <w:lang w:val="he-IL"/>
        </w:rPr>
        <w:pict>
          <v:rect id="_x0000_s1029" style="position:absolute;left:0;text-align:left;margin-left:464.5pt;margin-top:8.05pt;width:75.05pt;height:12.4pt;z-index:251659264" o:allowincell="f" filled="f" stroked="f" strokecolor="lime" strokeweight=".25pt">
            <v:textbox style="mso-next-textbox:#_x0000_s1029" inset="0,0,0,0">
              <w:txbxContent>
                <w:p w:rsidR="00D372CF" w:rsidRDefault="00D372C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Pr="00F63F28">
        <w:rPr>
          <w:rStyle w:val="big-number"/>
          <w:rFonts w:cs="Miriam"/>
          <w:rtl/>
        </w:rPr>
        <w:t>4</w:t>
      </w:r>
      <w:r w:rsidRPr="00F63F28">
        <w:rPr>
          <w:rStyle w:val="big-number"/>
          <w:rFonts w:cs="FrankRuehl"/>
          <w:sz w:val="26"/>
          <w:szCs w:val="26"/>
          <w:rtl/>
        </w:rPr>
        <w:t>.</w:t>
      </w:r>
      <w:r w:rsidRPr="00F63F28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ייקרא "צו מס הכנסה (פטור ממס על תקבולי ביטוח סוציאלי מחוץ לישראל), תשל"ז</w:t>
      </w:r>
      <w:r w:rsidR="00F63F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:rsidR="00D372CF" w:rsidRDefault="00D37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3F28" w:rsidRDefault="00F63F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72CF" w:rsidRDefault="00D372C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 xml:space="preserve">'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 תשל"ז (23 בנובמבר 1976)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ו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רבינוביץ</w:t>
      </w:r>
    </w:p>
    <w:p w:rsidR="00D372CF" w:rsidRDefault="00D372C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א</w:t>
      </w:r>
      <w:r>
        <w:rPr>
          <w:rFonts w:cs="FrankRuehl"/>
          <w:sz w:val="22"/>
          <w:rtl/>
        </w:rPr>
        <w:t>ו</w:t>
      </w:r>
      <w:r>
        <w:rPr>
          <w:rFonts w:cs="FrankRuehl" w:hint="cs"/>
          <w:sz w:val="22"/>
          <w:rtl/>
        </w:rPr>
        <w:t>צר</w:t>
      </w:r>
    </w:p>
    <w:p w:rsidR="00F63F28" w:rsidRPr="00F63F28" w:rsidRDefault="00F63F28" w:rsidP="00F63F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3F28" w:rsidRPr="00F63F28" w:rsidRDefault="00F63F28" w:rsidP="00F63F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372CF" w:rsidRPr="00F63F28" w:rsidRDefault="00D372CF" w:rsidP="00F63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D372CF" w:rsidRPr="00F63F28" w:rsidRDefault="00D372CF" w:rsidP="00F63F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372CF" w:rsidRPr="00F63F2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7BA4" w:rsidRDefault="005E7BA4">
      <w:r>
        <w:separator/>
      </w:r>
    </w:p>
  </w:endnote>
  <w:endnote w:type="continuationSeparator" w:id="0">
    <w:p w:rsidR="005E7BA4" w:rsidRDefault="005E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2CF" w:rsidRDefault="00D372C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D372CF" w:rsidRDefault="00D372C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372CF" w:rsidRDefault="00D372C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0C48">
      <w:rPr>
        <w:rFonts w:cs="TopType Jerushalmi"/>
        <w:noProof/>
        <w:color w:val="000000"/>
        <w:sz w:val="14"/>
        <w:szCs w:val="14"/>
      </w:rPr>
      <w:t>Z:\000000000000-law\yael\08-10-12\255_528.doc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2CF" w:rsidRDefault="00D372C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4720E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D372CF" w:rsidRDefault="00D372C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372CF" w:rsidRDefault="00D372C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0C48">
      <w:rPr>
        <w:rFonts w:cs="TopType Jerushalmi"/>
        <w:noProof/>
        <w:color w:val="000000"/>
        <w:sz w:val="14"/>
        <w:szCs w:val="14"/>
      </w:rPr>
      <w:t>Z:\000000000000-law\yael\08-10-12\255_528.doc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7BA4" w:rsidRDefault="005E7BA4" w:rsidP="00F63F28">
      <w:pPr>
        <w:spacing w:before="60"/>
        <w:ind w:right="1134"/>
      </w:pPr>
      <w:r>
        <w:separator/>
      </w:r>
    </w:p>
  </w:footnote>
  <w:footnote w:type="continuationSeparator" w:id="0">
    <w:p w:rsidR="005E7BA4" w:rsidRDefault="005E7BA4">
      <w:r>
        <w:continuationSeparator/>
      </w:r>
    </w:p>
  </w:footnote>
  <w:footnote w:id="1">
    <w:p w:rsidR="00F63F28" w:rsidRPr="00F63F28" w:rsidRDefault="00F63F28" w:rsidP="00F63F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63F28">
        <w:rPr>
          <w:rFonts w:cs="FrankRuehl"/>
          <w:rtl/>
        </w:rPr>
        <w:t xml:space="preserve">* </w:t>
      </w:r>
      <w:r>
        <w:rPr>
          <w:rFonts w:cs="FrankRuehl" w:hint="cs"/>
          <w:rtl/>
        </w:rPr>
        <w:t>פו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926E0D">
          <w:rPr>
            <w:rStyle w:val="Hyperlink"/>
            <w:rFonts w:cs="FrankRuehl"/>
            <w:rtl/>
          </w:rPr>
          <w:t>ק</w:t>
        </w:r>
        <w:r w:rsidRPr="00926E0D">
          <w:rPr>
            <w:rStyle w:val="Hyperlink"/>
            <w:rFonts w:cs="FrankRuehl" w:hint="cs"/>
            <w:rtl/>
          </w:rPr>
          <w:t>"ת תשל"ז מס' 363</w:t>
        </w:r>
        <w:r w:rsidRPr="00926E0D">
          <w:rPr>
            <w:rStyle w:val="Hyperlink"/>
            <w:rFonts w:cs="FrankRuehl" w:hint="cs"/>
            <w:rtl/>
          </w:rPr>
          <w:t>1</w:t>
        </w:r>
      </w:hyperlink>
      <w:r>
        <w:rPr>
          <w:rFonts w:cs="FrankRuehl" w:hint="cs"/>
          <w:rtl/>
        </w:rPr>
        <w:t xml:space="preserve"> מיום 12.12.1976 עמ' 490.</w:t>
      </w:r>
    </w:p>
  </w:footnote>
  <w:footnote w:id="2">
    <w:p w:rsidR="00F63F28" w:rsidRDefault="00F63F28" w:rsidP="00F63F28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F63F28">
        <w:rPr>
          <w:sz w:val="22"/>
          <w:szCs w:val="22"/>
          <w:rtl/>
        </w:rPr>
        <w:t xml:space="preserve"> </w:t>
      </w:r>
      <w:r w:rsidRPr="00F63F28">
        <w:rPr>
          <w:rFonts w:cs="FrankRuehl"/>
          <w:sz w:val="22"/>
          <w:szCs w:val="22"/>
          <w:rtl/>
        </w:rPr>
        <w:t>י</w:t>
      </w:r>
      <w:r w:rsidRPr="00F63F28">
        <w:rPr>
          <w:rFonts w:cs="FrankRuehl" w:hint="cs"/>
          <w:sz w:val="22"/>
          <w:szCs w:val="22"/>
          <w:rtl/>
        </w:rPr>
        <w:t>ראו את הצו כאילו הותקן לפי סעיף 14ב לפקודת מס הכנסה [נוסח משולב] שהוסף בחוק לתיקון פקודת מס הכנסה (מס' 132) (תיקון), תשס"ג-2002 כל עוד לא תוקן, שונה או בוטל על פי הוראות סעיף 14ב לפקודה.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2CF" w:rsidRDefault="00D372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תקבולי ביטוח סוציאלי מחוץ לישראל), תשל"ז–1976</w:t>
    </w:r>
  </w:p>
  <w:p w:rsidR="00D372CF" w:rsidRDefault="00D372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72CF" w:rsidRDefault="00D372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2CF" w:rsidRDefault="00D372CF" w:rsidP="00F63F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תקבולי ביטוח סוציאלי מחוץ לישראל), תשל"ז</w:t>
    </w:r>
    <w:r w:rsidR="00F63F2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D372CF" w:rsidRDefault="00D372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72CF" w:rsidRDefault="00D372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E0D"/>
    <w:rsid w:val="00216750"/>
    <w:rsid w:val="00544E1F"/>
    <w:rsid w:val="005E7BA4"/>
    <w:rsid w:val="005F3013"/>
    <w:rsid w:val="006C0C48"/>
    <w:rsid w:val="0087588C"/>
    <w:rsid w:val="00926E0D"/>
    <w:rsid w:val="00A4720E"/>
    <w:rsid w:val="00D372CF"/>
    <w:rsid w:val="00F317E0"/>
    <w:rsid w:val="00F6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6AA54F-2B06-4034-9589-1DA0C873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926E0D"/>
    <w:rPr>
      <w:color w:val="800080"/>
      <w:u w:val="single"/>
    </w:rPr>
  </w:style>
  <w:style w:type="paragraph" w:styleId="a5">
    <w:name w:val="footnote text"/>
    <w:basedOn w:val="a"/>
    <w:semiHidden/>
    <w:rsid w:val="00F63F28"/>
    <w:rPr>
      <w:sz w:val="20"/>
      <w:szCs w:val="20"/>
    </w:rPr>
  </w:style>
  <w:style w:type="character" w:styleId="a6">
    <w:name w:val="footnote reference"/>
    <w:basedOn w:val="a0"/>
    <w:semiHidden/>
    <w:rsid w:val="00F63F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1116</CharactersWithSpaces>
  <SharedDoc>false</SharedDoc>
  <HLinks>
    <vt:vector size="30" baseType="variant"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תקבולי ביטוח סוציאלי מחוץ לישראל), תשל"ז-1976</vt:lpwstr>
  </property>
  <property fmtid="{D5CDD505-2E9C-101B-9397-08002B2CF9AE}" pid="5" name="LAWNUMBER">
    <vt:lpwstr>0528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14X</vt:lpwstr>
  </property>
  <property fmtid="{D5CDD505-2E9C-101B-9397-08002B2CF9AE}" pid="9" name="MEKOR_NAME2">
    <vt:lpwstr>חוק-יסוד: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מסים</vt:lpwstr>
  </property>
  <property fmtid="{D5CDD505-2E9C-101B-9397-08002B2CF9AE}" pid="12" name="NOSE21">
    <vt:lpwstr>מס הכנסה</vt:lpwstr>
  </property>
  <property fmtid="{D5CDD505-2E9C-101B-9397-08002B2CF9AE}" pid="13" name="NOSE31">
    <vt:lpwstr>פטור ממס: כללי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