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C722" w14:textId="77777777" w:rsidR="00141028" w:rsidRDefault="00141028" w:rsidP="00141028">
      <w:pPr>
        <w:pStyle w:val="big-header"/>
        <w:ind w:left="0" w:right="1134"/>
        <w:rPr>
          <w:rFonts w:cs="FrankRuehl"/>
          <w:sz w:val="32"/>
        </w:rPr>
      </w:pPr>
      <w:r>
        <w:rPr>
          <w:rFonts w:cs="FrankRuehl" w:hint="cs"/>
          <w:sz w:val="32"/>
          <w:rtl/>
        </w:rPr>
        <w:t>צו מס הכנסה (קביעת בורסה), תשס"ד-2004</w:t>
      </w:r>
    </w:p>
    <w:p w14:paraId="75EB5E02" w14:textId="77777777" w:rsidR="001124EB" w:rsidRPr="001124EB" w:rsidRDefault="001124EB" w:rsidP="001124EB">
      <w:pPr>
        <w:spacing w:line="320" w:lineRule="auto"/>
        <w:rPr>
          <w:rFonts w:cs="FrankRuehl"/>
          <w:szCs w:val="26"/>
          <w:rtl/>
        </w:rPr>
      </w:pPr>
    </w:p>
    <w:p w14:paraId="6182684A" w14:textId="77777777" w:rsidR="001124EB" w:rsidRDefault="001124EB" w:rsidP="001124EB">
      <w:pPr>
        <w:spacing w:line="320" w:lineRule="auto"/>
        <w:rPr>
          <w:rtl/>
        </w:rPr>
      </w:pPr>
    </w:p>
    <w:p w14:paraId="62E7B892" w14:textId="77777777" w:rsidR="001124EB" w:rsidRDefault="001124EB" w:rsidP="001124EB">
      <w:pPr>
        <w:spacing w:line="320" w:lineRule="auto"/>
        <w:rPr>
          <w:rFonts w:cs="FrankRuehl"/>
          <w:szCs w:val="26"/>
          <w:rtl/>
        </w:rPr>
      </w:pPr>
      <w:r w:rsidRPr="001124EB">
        <w:rPr>
          <w:rFonts w:cs="Miriam"/>
          <w:szCs w:val="22"/>
          <w:rtl/>
        </w:rPr>
        <w:t>מסים</w:t>
      </w:r>
      <w:r w:rsidRPr="001124EB">
        <w:rPr>
          <w:rFonts w:cs="FrankRuehl"/>
          <w:szCs w:val="26"/>
          <w:rtl/>
        </w:rPr>
        <w:t xml:space="preserve"> – מס הכנסה – קביעות וכללים</w:t>
      </w:r>
    </w:p>
    <w:p w14:paraId="6EA0A323" w14:textId="77777777" w:rsidR="001124EB" w:rsidRPr="001124EB" w:rsidRDefault="001124EB" w:rsidP="001124EB">
      <w:pPr>
        <w:spacing w:line="320" w:lineRule="auto"/>
        <w:rPr>
          <w:rFonts w:cs="Miriam"/>
          <w:szCs w:val="22"/>
          <w:rtl/>
        </w:rPr>
      </w:pPr>
      <w:r w:rsidRPr="001124EB">
        <w:rPr>
          <w:rFonts w:cs="Miriam"/>
          <w:szCs w:val="22"/>
          <w:rtl/>
        </w:rPr>
        <w:t>מסים</w:t>
      </w:r>
      <w:r w:rsidRPr="001124EB">
        <w:rPr>
          <w:rFonts w:cs="FrankRuehl"/>
          <w:szCs w:val="26"/>
          <w:rtl/>
        </w:rPr>
        <w:t xml:space="preserve"> – מס הכנסה – בורסה</w:t>
      </w:r>
    </w:p>
    <w:p w14:paraId="239F5759" w14:textId="77777777" w:rsidR="00141028" w:rsidRPr="008A40D3" w:rsidRDefault="00141028" w:rsidP="00141028">
      <w:pPr>
        <w:pStyle w:val="big-header"/>
        <w:ind w:left="0" w:right="1134"/>
        <w:rPr>
          <w:rStyle w:val="default"/>
          <w:rFonts w:cs="FrankRuehl" w:hint="cs"/>
          <w:rtl/>
        </w:rPr>
      </w:pPr>
      <w:r w:rsidRPr="008A40D3">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696B" w:rsidRPr="0040696B" w14:paraId="66F4E91A" w14:textId="77777777">
        <w:tblPrEx>
          <w:tblCellMar>
            <w:top w:w="0" w:type="dxa"/>
            <w:bottom w:w="0" w:type="dxa"/>
          </w:tblCellMar>
        </w:tblPrEx>
        <w:tc>
          <w:tcPr>
            <w:tcW w:w="1247" w:type="dxa"/>
          </w:tcPr>
          <w:p w14:paraId="32E6BEE2" w14:textId="77777777" w:rsidR="0040696B" w:rsidRPr="0040696B" w:rsidRDefault="0040696B" w:rsidP="0040696B">
            <w:pPr>
              <w:rPr>
                <w:rFonts w:cs="Frankruhel" w:hint="cs"/>
                <w:rtl/>
              </w:rPr>
            </w:pPr>
            <w:r>
              <w:rPr>
                <w:rtl/>
              </w:rPr>
              <w:t xml:space="preserve">סעיף 1 </w:t>
            </w:r>
          </w:p>
        </w:tc>
        <w:tc>
          <w:tcPr>
            <w:tcW w:w="5669" w:type="dxa"/>
          </w:tcPr>
          <w:p w14:paraId="5935BDDD" w14:textId="77777777" w:rsidR="0040696B" w:rsidRPr="0040696B" w:rsidRDefault="0040696B" w:rsidP="0040696B">
            <w:pPr>
              <w:rPr>
                <w:rFonts w:cs="Frankruhel" w:hint="cs"/>
                <w:rtl/>
              </w:rPr>
            </w:pPr>
            <w:r>
              <w:rPr>
                <w:rtl/>
              </w:rPr>
              <w:t>הגדרות</w:t>
            </w:r>
          </w:p>
        </w:tc>
        <w:tc>
          <w:tcPr>
            <w:tcW w:w="567" w:type="dxa"/>
          </w:tcPr>
          <w:p w14:paraId="7DC1B859" w14:textId="77777777" w:rsidR="0040696B" w:rsidRPr="0040696B" w:rsidRDefault="0040696B" w:rsidP="0040696B">
            <w:pPr>
              <w:rPr>
                <w:rStyle w:val="Hyperlink"/>
                <w:rFonts w:hint="cs"/>
                <w:rtl/>
              </w:rPr>
            </w:pPr>
            <w:hyperlink w:anchor="Seif1" w:tooltip="הגדרות" w:history="1">
              <w:r w:rsidRPr="0040696B">
                <w:rPr>
                  <w:rStyle w:val="Hyperlink"/>
                </w:rPr>
                <w:t>Go</w:t>
              </w:r>
            </w:hyperlink>
          </w:p>
        </w:tc>
        <w:tc>
          <w:tcPr>
            <w:tcW w:w="850" w:type="dxa"/>
          </w:tcPr>
          <w:p w14:paraId="0BCA3236" w14:textId="77777777" w:rsidR="0040696B" w:rsidRPr="0040696B" w:rsidRDefault="0040696B" w:rsidP="00406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0696B" w:rsidRPr="0040696B" w14:paraId="0086AB32" w14:textId="77777777">
        <w:tblPrEx>
          <w:tblCellMar>
            <w:top w:w="0" w:type="dxa"/>
            <w:bottom w:w="0" w:type="dxa"/>
          </w:tblCellMar>
        </w:tblPrEx>
        <w:tc>
          <w:tcPr>
            <w:tcW w:w="1247" w:type="dxa"/>
          </w:tcPr>
          <w:p w14:paraId="5C9F8015" w14:textId="77777777" w:rsidR="0040696B" w:rsidRPr="0040696B" w:rsidRDefault="0040696B" w:rsidP="0040696B">
            <w:pPr>
              <w:rPr>
                <w:rFonts w:cs="Frankruhel" w:hint="cs"/>
                <w:rtl/>
              </w:rPr>
            </w:pPr>
            <w:r>
              <w:rPr>
                <w:rtl/>
              </w:rPr>
              <w:t xml:space="preserve">סעיף 2 </w:t>
            </w:r>
          </w:p>
        </w:tc>
        <w:tc>
          <w:tcPr>
            <w:tcW w:w="5669" w:type="dxa"/>
          </w:tcPr>
          <w:p w14:paraId="6E018636" w14:textId="77777777" w:rsidR="0040696B" w:rsidRPr="0040696B" w:rsidRDefault="0040696B" w:rsidP="0040696B">
            <w:pPr>
              <w:rPr>
                <w:rFonts w:cs="Frankruhel" w:hint="cs"/>
                <w:rtl/>
              </w:rPr>
            </w:pPr>
            <w:r>
              <w:rPr>
                <w:rtl/>
              </w:rPr>
              <w:t>קביעת בורסה לענין הוראות לפי הפקודה</w:t>
            </w:r>
          </w:p>
        </w:tc>
        <w:tc>
          <w:tcPr>
            <w:tcW w:w="567" w:type="dxa"/>
          </w:tcPr>
          <w:p w14:paraId="4B86A4A0" w14:textId="77777777" w:rsidR="0040696B" w:rsidRPr="0040696B" w:rsidRDefault="0040696B" w:rsidP="0040696B">
            <w:pPr>
              <w:rPr>
                <w:rStyle w:val="Hyperlink"/>
                <w:rFonts w:hint="cs"/>
                <w:rtl/>
              </w:rPr>
            </w:pPr>
            <w:hyperlink w:anchor="Seif2" w:tooltip="קביעת בורסה לענין הוראות לפי הפקודה" w:history="1">
              <w:r w:rsidRPr="0040696B">
                <w:rPr>
                  <w:rStyle w:val="Hyperlink"/>
                </w:rPr>
                <w:t>Go</w:t>
              </w:r>
            </w:hyperlink>
          </w:p>
        </w:tc>
        <w:tc>
          <w:tcPr>
            <w:tcW w:w="850" w:type="dxa"/>
          </w:tcPr>
          <w:p w14:paraId="07667442" w14:textId="77777777" w:rsidR="0040696B" w:rsidRPr="0040696B" w:rsidRDefault="0040696B" w:rsidP="00406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0696B" w:rsidRPr="0040696B" w14:paraId="31FF41F8" w14:textId="77777777">
        <w:tblPrEx>
          <w:tblCellMar>
            <w:top w:w="0" w:type="dxa"/>
            <w:bottom w:w="0" w:type="dxa"/>
          </w:tblCellMar>
        </w:tblPrEx>
        <w:tc>
          <w:tcPr>
            <w:tcW w:w="1247" w:type="dxa"/>
          </w:tcPr>
          <w:p w14:paraId="49625EE0" w14:textId="77777777" w:rsidR="0040696B" w:rsidRPr="0040696B" w:rsidRDefault="0040696B" w:rsidP="0040696B">
            <w:pPr>
              <w:rPr>
                <w:rFonts w:cs="Frankruhel" w:hint="cs"/>
                <w:rtl/>
              </w:rPr>
            </w:pPr>
            <w:r>
              <w:rPr>
                <w:rtl/>
              </w:rPr>
              <w:t xml:space="preserve">סעיף 3 </w:t>
            </w:r>
          </w:p>
        </w:tc>
        <w:tc>
          <w:tcPr>
            <w:tcW w:w="5669" w:type="dxa"/>
          </w:tcPr>
          <w:p w14:paraId="5DDE9CAD" w14:textId="77777777" w:rsidR="0040696B" w:rsidRPr="0040696B" w:rsidRDefault="0040696B" w:rsidP="0040696B">
            <w:pPr>
              <w:rPr>
                <w:rFonts w:cs="Frankruhel" w:hint="cs"/>
                <w:rtl/>
              </w:rPr>
            </w:pPr>
            <w:r>
              <w:rPr>
                <w:rtl/>
              </w:rPr>
              <w:t>קביעת בורסה לענין סעיף 97</w:t>
            </w:r>
          </w:p>
        </w:tc>
        <w:tc>
          <w:tcPr>
            <w:tcW w:w="567" w:type="dxa"/>
          </w:tcPr>
          <w:p w14:paraId="402D9454" w14:textId="77777777" w:rsidR="0040696B" w:rsidRPr="0040696B" w:rsidRDefault="0040696B" w:rsidP="0040696B">
            <w:pPr>
              <w:rPr>
                <w:rStyle w:val="Hyperlink"/>
                <w:rFonts w:hint="cs"/>
                <w:rtl/>
              </w:rPr>
            </w:pPr>
            <w:hyperlink w:anchor="Seif3" w:tooltip="קביעת בורסה לענין סעיף 97" w:history="1">
              <w:r w:rsidRPr="0040696B">
                <w:rPr>
                  <w:rStyle w:val="Hyperlink"/>
                </w:rPr>
                <w:t>Go</w:t>
              </w:r>
            </w:hyperlink>
          </w:p>
        </w:tc>
        <w:tc>
          <w:tcPr>
            <w:tcW w:w="850" w:type="dxa"/>
          </w:tcPr>
          <w:p w14:paraId="2FA0418B" w14:textId="77777777" w:rsidR="0040696B" w:rsidRPr="0040696B" w:rsidRDefault="0040696B" w:rsidP="00406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0696B" w:rsidRPr="0040696B" w14:paraId="528D3051" w14:textId="77777777">
        <w:tblPrEx>
          <w:tblCellMar>
            <w:top w:w="0" w:type="dxa"/>
            <w:bottom w:w="0" w:type="dxa"/>
          </w:tblCellMar>
        </w:tblPrEx>
        <w:tc>
          <w:tcPr>
            <w:tcW w:w="1247" w:type="dxa"/>
          </w:tcPr>
          <w:p w14:paraId="2892A415" w14:textId="77777777" w:rsidR="0040696B" w:rsidRPr="0040696B" w:rsidRDefault="0040696B" w:rsidP="0040696B">
            <w:pPr>
              <w:rPr>
                <w:rFonts w:cs="Frankruhel" w:hint="cs"/>
                <w:rtl/>
              </w:rPr>
            </w:pPr>
            <w:r>
              <w:rPr>
                <w:rtl/>
              </w:rPr>
              <w:t xml:space="preserve">סעיף 4 </w:t>
            </w:r>
          </w:p>
        </w:tc>
        <w:tc>
          <w:tcPr>
            <w:tcW w:w="5669" w:type="dxa"/>
          </w:tcPr>
          <w:p w14:paraId="1CAD7D11" w14:textId="77777777" w:rsidR="0040696B" w:rsidRPr="0040696B" w:rsidRDefault="0040696B" w:rsidP="0040696B">
            <w:pPr>
              <w:rPr>
                <w:rFonts w:cs="Frankruhel" w:hint="cs"/>
                <w:rtl/>
              </w:rPr>
            </w:pPr>
            <w:r>
              <w:rPr>
                <w:rtl/>
              </w:rPr>
              <w:t>תחילה</w:t>
            </w:r>
          </w:p>
        </w:tc>
        <w:tc>
          <w:tcPr>
            <w:tcW w:w="567" w:type="dxa"/>
          </w:tcPr>
          <w:p w14:paraId="46A3BAEF" w14:textId="77777777" w:rsidR="0040696B" w:rsidRPr="0040696B" w:rsidRDefault="0040696B" w:rsidP="0040696B">
            <w:pPr>
              <w:rPr>
                <w:rStyle w:val="Hyperlink"/>
                <w:rFonts w:hint="cs"/>
                <w:rtl/>
              </w:rPr>
            </w:pPr>
            <w:hyperlink w:anchor="Seif4" w:tooltip="תחילה" w:history="1">
              <w:r w:rsidRPr="0040696B">
                <w:rPr>
                  <w:rStyle w:val="Hyperlink"/>
                </w:rPr>
                <w:t>Go</w:t>
              </w:r>
            </w:hyperlink>
          </w:p>
        </w:tc>
        <w:tc>
          <w:tcPr>
            <w:tcW w:w="850" w:type="dxa"/>
          </w:tcPr>
          <w:p w14:paraId="124740CA" w14:textId="77777777" w:rsidR="0040696B" w:rsidRPr="0040696B" w:rsidRDefault="0040696B" w:rsidP="00406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0696B" w:rsidRPr="0040696B" w14:paraId="43D95D6B" w14:textId="77777777">
        <w:tblPrEx>
          <w:tblCellMar>
            <w:top w:w="0" w:type="dxa"/>
            <w:bottom w:w="0" w:type="dxa"/>
          </w:tblCellMar>
        </w:tblPrEx>
        <w:tc>
          <w:tcPr>
            <w:tcW w:w="1247" w:type="dxa"/>
          </w:tcPr>
          <w:p w14:paraId="0D837057" w14:textId="77777777" w:rsidR="0040696B" w:rsidRPr="0040696B" w:rsidRDefault="0040696B" w:rsidP="0040696B">
            <w:pPr>
              <w:rPr>
                <w:rFonts w:cs="Frankruhel" w:hint="cs"/>
                <w:rtl/>
              </w:rPr>
            </w:pPr>
            <w:r>
              <w:rPr>
                <w:rtl/>
              </w:rPr>
              <w:t xml:space="preserve">סעיף 5 </w:t>
            </w:r>
          </w:p>
        </w:tc>
        <w:tc>
          <w:tcPr>
            <w:tcW w:w="5669" w:type="dxa"/>
          </w:tcPr>
          <w:p w14:paraId="06797614" w14:textId="77777777" w:rsidR="0040696B" w:rsidRPr="0040696B" w:rsidRDefault="0040696B" w:rsidP="0040696B">
            <w:pPr>
              <w:rPr>
                <w:rFonts w:cs="Frankruhel" w:hint="cs"/>
                <w:rtl/>
              </w:rPr>
            </w:pPr>
            <w:r>
              <w:rPr>
                <w:rtl/>
              </w:rPr>
              <w:t>הוראות שעה</w:t>
            </w:r>
          </w:p>
        </w:tc>
        <w:tc>
          <w:tcPr>
            <w:tcW w:w="567" w:type="dxa"/>
          </w:tcPr>
          <w:p w14:paraId="7CB380C7" w14:textId="77777777" w:rsidR="0040696B" w:rsidRPr="0040696B" w:rsidRDefault="0040696B" w:rsidP="0040696B">
            <w:pPr>
              <w:rPr>
                <w:rStyle w:val="Hyperlink"/>
                <w:rFonts w:hint="cs"/>
                <w:rtl/>
              </w:rPr>
            </w:pPr>
            <w:hyperlink w:anchor="Seif5" w:tooltip="הוראות שעה" w:history="1">
              <w:r w:rsidRPr="0040696B">
                <w:rPr>
                  <w:rStyle w:val="Hyperlink"/>
                </w:rPr>
                <w:t>Go</w:t>
              </w:r>
            </w:hyperlink>
          </w:p>
        </w:tc>
        <w:tc>
          <w:tcPr>
            <w:tcW w:w="850" w:type="dxa"/>
          </w:tcPr>
          <w:p w14:paraId="0D60563F" w14:textId="77777777" w:rsidR="0040696B" w:rsidRPr="0040696B" w:rsidRDefault="0040696B" w:rsidP="00406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14:paraId="04E1A3FF" w14:textId="77777777" w:rsidR="00141028" w:rsidRPr="008A40D3" w:rsidRDefault="00141028" w:rsidP="00141028">
      <w:pPr>
        <w:pStyle w:val="big-header"/>
        <w:ind w:left="0" w:right="1134"/>
        <w:rPr>
          <w:rFonts w:cs="FrankRuehl" w:hint="cs"/>
          <w:rtl/>
        </w:rPr>
      </w:pPr>
    </w:p>
    <w:p w14:paraId="5F5D241C" w14:textId="77777777" w:rsidR="00B4256D" w:rsidRDefault="00141028" w:rsidP="001124EB">
      <w:pPr>
        <w:pStyle w:val="big-header"/>
        <w:ind w:left="0" w:right="1134"/>
        <w:rPr>
          <w:rFonts w:cs="FrankRuehl" w:hint="cs"/>
          <w:sz w:val="32"/>
          <w:rtl/>
        </w:rPr>
      </w:pPr>
      <w:r w:rsidRPr="008A40D3">
        <w:rPr>
          <w:rFonts w:cs="FrankRuehl"/>
          <w:rtl/>
        </w:rPr>
        <w:br w:type="page"/>
      </w:r>
      <w:r w:rsidR="00B4256D">
        <w:rPr>
          <w:rFonts w:cs="FrankRuehl" w:hint="cs"/>
          <w:sz w:val="32"/>
          <w:rtl/>
        </w:rPr>
        <w:lastRenderedPageBreak/>
        <w:t>צו מס הכנסה (קביעת בורסה), תשס"ד-2004</w:t>
      </w:r>
      <w:r w:rsidR="00B4256D">
        <w:rPr>
          <w:rStyle w:val="default"/>
          <w:sz w:val="22"/>
          <w:szCs w:val="22"/>
          <w:rtl/>
        </w:rPr>
        <w:footnoteReference w:customMarkFollows="1" w:id="1"/>
        <w:t>*</w:t>
      </w:r>
    </w:p>
    <w:p w14:paraId="133F2209" w14:textId="77777777" w:rsidR="00B4256D" w:rsidRDefault="00B4256D">
      <w:pPr>
        <w:pStyle w:val="P00"/>
        <w:spacing w:before="72"/>
        <w:ind w:left="0" w:right="1134"/>
        <w:rPr>
          <w:rStyle w:val="default"/>
          <w:rFonts w:cs="FrankRuehl" w:hint="cs"/>
          <w:rtl/>
        </w:rPr>
      </w:pPr>
      <w:r>
        <w:rPr>
          <w:rStyle w:val="default"/>
          <w:rFonts w:cs="FrankRuehl" w:hint="cs"/>
          <w:rtl/>
        </w:rPr>
        <w:tab/>
        <w:t xml:space="preserve">בתוקף סמכותי לפי ההגדרה "בורסה" בסעיף 1 לפקודת מס הכנסה (להלן </w:t>
      </w:r>
      <w:r>
        <w:rPr>
          <w:rStyle w:val="default"/>
          <w:rFonts w:cs="FrankRuehl"/>
          <w:rtl/>
        </w:rPr>
        <w:t>–</w:t>
      </w:r>
      <w:r>
        <w:rPr>
          <w:rStyle w:val="default"/>
          <w:rFonts w:cs="FrankRuehl" w:hint="cs"/>
          <w:rtl/>
        </w:rPr>
        <w:t xml:space="preserve"> הפקודה), אני קובע לאמור:</w:t>
      </w:r>
    </w:p>
    <w:p w14:paraId="78098144" w14:textId="77777777" w:rsidR="00B4256D" w:rsidRDefault="00B4256D">
      <w:pPr>
        <w:pStyle w:val="P00"/>
        <w:spacing w:before="72"/>
        <w:ind w:left="0" w:right="1134"/>
        <w:rPr>
          <w:rStyle w:val="default"/>
          <w:rFonts w:cs="FrankRuehl" w:hint="cs"/>
          <w:rtl/>
        </w:rPr>
      </w:pPr>
      <w:bookmarkStart w:id="0" w:name="Seif1"/>
      <w:bookmarkEnd w:id="0"/>
      <w:r>
        <w:rPr>
          <w:rFonts w:cs="Miriam"/>
          <w:lang w:val="he-IL"/>
        </w:rPr>
        <w:pict w14:anchorId="1B252FEA">
          <v:rect id="_x0000_s1026" style="position:absolute;left:0;text-align:left;margin-left:463.5pt;margin-top:8.05pt;width:75.05pt;height:8.95pt;z-index:251655680" filled="f" stroked="f" strokecolor="lime" strokeweight=".25pt">
            <v:textbox style="mso-next-textbox:#_x0000_s1026" inset="1mm,0,1mm,0">
              <w:txbxContent>
                <w:p w14:paraId="1E77E2A4" w14:textId="77777777" w:rsidR="00B4256D" w:rsidRDefault="00B4256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1FB11148" w14:textId="77777777" w:rsidR="00B4256D" w:rsidRDefault="00B4256D">
      <w:pPr>
        <w:pStyle w:val="P00"/>
        <w:spacing w:before="72"/>
        <w:ind w:left="0" w:right="1134"/>
        <w:rPr>
          <w:rStyle w:val="default"/>
          <w:rFonts w:cs="FrankRuehl" w:hint="cs"/>
          <w:rtl/>
        </w:rPr>
      </w:pPr>
      <w:r>
        <w:rPr>
          <w:rStyle w:val="default"/>
          <w:rFonts w:cs="FrankRuehl" w:hint="cs"/>
          <w:rtl/>
        </w:rPr>
        <w:tab/>
        <w:t xml:space="preserve">"ניירות ערך" ו"עסקה עתידית" </w:t>
      </w:r>
      <w:r>
        <w:rPr>
          <w:rStyle w:val="default"/>
          <w:rFonts w:cs="FrankRuehl"/>
          <w:rtl/>
        </w:rPr>
        <w:t>–</w:t>
      </w:r>
      <w:r>
        <w:rPr>
          <w:rStyle w:val="default"/>
          <w:rFonts w:cs="FrankRuehl" w:hint="cs"/>
          <w:rtl/>
        </w:rPr>
        <w:t xml:space="preserve"> כהגדרתם בסעיף 105יא לפקודה;</w:t>
      </w:r>
    </w:p>
    <w:p w14:paraId="66F0A922" w14:textId="77777777" w:rsidR="00B4256D" w:rsidRDefault="00B4256D">
      <w:pPr>
        <w:pStyle w:val="P00"/>
        <w:spacing w:before="72"/>
        <w:ind w:left="0" w:right="1134"/>
        <w:rPr>
          <w:rStyle w:val="default"/>
          <w:rFonts w:cs="FrankRuehl" w:hint="cs"/>
          <w:rtl/>
        </w:rPr>
      </w:pPr>
      <w:r>
        <w:rPr>
          <w:rStyle w:val="default"/>
          <w:rFonts w:cs="FrankRuehl" w:hint="cs"/>
          <w:rtl/>
        </w:rPr>
        <w:tab/>
        <w:t xml:space="preserve">"מדינה גומלת" </w:t>
      </w:r>
      <w:r>
        <w:rPr>
          <w:rStyle w:val="default"/>
          <w:rFonts w:cs="FrankRuehl"/>
          <w:rtl/>
        </w:rPr>
        <w:t>–</w:t>
      </w:r>
      <w:r>
        <w:rPr>
          <w:rStyle w:val="default"/>
          <w:rFonts w:cs="FrankRuehl" w:hint="cs"/>
          <w:rtl/>
        </w:rPr>
        <w:t xml:space="preserve"> כהגדרתה בסעיף 196 לפקודה;</w:t>
      </w:r>
    </w:p>
    <w:p w14:paraId="39955D1C" w14:textId="77777777" w:rsidR="00B4256D" w:rsidRDefault="00B4256D">
      <w:pPr>
        <w:pStyle w:val="P00"/>
        <w:spacing w:before="72"/>
        <w:ind w:left="0" w:right="1134"/>
        <w:rPr>
          <w:rStyle w:val="default"/>
          <w:rFonts w:cs="FrankRuehl" w:hint="cs"/>
          <w:rtl/>
        </w:rPr>
      </w:pPr>
      <w:r>
        <w:rPr>
          <w:rStyle w:val="default"/>
          <w:rFonts w:cs="FrankRuehl" w:hint="cs"/>
          <w:rtl/>
        </w:rPr>
        <w:tab/>
        <w:t xml:space="preserve">"שוק מוסדר" </w:t>
      </w:r>
      <w:r>
        <w:rPr>
          <w:rStyle w:val="default"/>
          <w:rFonts w:cs="FrankRuehl"/>
          <w:rtl/>
        </w:rPr>
        <w:t>–</w:t>
      </w:r>
      <w:r>
        <w:rPr>
          <w:rStyle w:val="default"/>
          <w:rFonts w:cs="FrankRuehl" w:hint="cs"/>
          <w:rtl/>
        </w:rPr>
        <w:t xml:space="preserve"> כל אחד מאלה:</w:t>
      </w:r>
    </w:p>
    <w:p w14:paraId="3221DA42" w14:textId="77777777" w:rsidR="00B4256D" w:rsidRDefault="00B425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מסחר מעל הדלפק בארה"ב בנייר ערך הכלול ברשימה שמפרסם ארגון הסוחרים בניירות ערך בארה"ב (</w:t>
      </w:r>
      <w:r>
        <w:rPr>
          <w:rStyle w:val="default"/>
          <w:rFonts w:cs="FrankRuehl"/>
          <w:sz w:val="20"/>
          <w:szCs w:val="20"/>
        </w:rPr>
        <w:t>NASDAQ</w:t>
      </w:r>
      <w:r>
        <w:rPr>
          <w:rStyle w:val="default"/>
          <w:rFonts w:cs="FrankRuehl" w:hint="cs"/>
          <w:rtl/>
        </w:rPr>
        <w:t>);</w:t>
      </w:r>
    </w:p>
    <w:p w14:paraId="57BEDCB5" w14:textId="77777777" w:rsidR="00B4256D" w:rsidRDefault="00B425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מערכת שבאמצעותה מתנהל מסחר באיגרות חוב, על פי כללים שנקבעו על ידי מי שרשאי לקבעם על פי דין במדינה שבה הוא מתנהל, והכל אם נקבעו בו כללים והוראות לכל אחד מאלה:</w:t>
      </w:r>
    </w:p>
    <w:p w14:paraId="5025F793" w14:textId="77777777" w:rsidR="00B4256D" w:rsidRDefault="00B4256D">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היקף ההנפקה, החזקה המינימלית באיגרות החוב על ידי הציבור לאחר ההנפקה לגבי מספר המחזיקים, שיעור ההחזקה ושווי ההחזקה באיגרות החוב;</w:t>
      </w:r>
    </w:p>
    <w:p w14:paraId="5B97AADA" w14:textId="77777777" w:rsidR="00B4256D" w:rsidRDefault="00B4256D">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העברת התמורה או איגרות החוב ורישום הפעולה;</w:t>
      </w:r>
    </w:p>
    <w:p w14:paraId="64824EFA" w14:textId="77777777" w:rsidR="00B4256D" w:rsidRDefault="00B4256D">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תנאים להפסקת המסחר באיגרות החוב, מחיקת איגרות חוב מהמסחר וכן חידוש המסחר באיגרות החוב.</w:t>
      </w:r>
    </w:p>
    <w:p w14:paraId="761CA83B" w14:textId="77777777" w:rsidR="00B4256D" w:rsidRDefault="00B4256D">
      <w:pPr>
        <w:pStyle w:val="P00"/>
        <w:spacing w:before="72"/>
        <w:ind w:left="0" w:right="1134"/>
        <w:rPr>
          <w:rStyle w:val="default"/>
          <w:rFonts w:cs="FrankRuehl" w:hint="cs"/>
          <w:rtl/>
        </w:rPr>
      </w:pPr>
      <w:bookmarkStart w:id="1" w:name="Seif2"/>
      <w:bookmarkEnd w:id="1"/>
      <w:r>
        <w:rPr>
          <w:rFonts w:cs="Miriam"/>
          <w:lang w:val="he-IL"/>
        </w:rPr>
        <w:pict w14:anchorId="7CABE198">
          <v:rect id="_x0000_s1059" style="position:absolute;left:0;text-align:left;margin-left:464.35pt;margin-top:8.05pt;width:75.05pt;height:28pt;z-index:251656704" o:allowincell="f" filled="f" stroked="f" strokecolor="lime" strokeweight=".25pt">
            <v:textbox style="mso-next-textbox:#_x0000_s1059" inset="1mm,0,1mm,0">
              <w:txbxContent>
                <w:p w14:paraId="281C9994" w14:textId="77777777" w:rsidR="00B4256D" w:rsidRDefault="00B4256D">
                  <w:pPr>
                    <w:pStyle w:val="a7"/>
                    <w:spacing w:line="160" w:lineRule="exact"/>
                    <w:rPr>
                      <w:rFonts w:hint="cs"/>
                      <w:noProof/>
                      <w:rtl/>
                    </w:rPr>
                  </w:pPr>
                  <w:r>
                    <w:rPr>
                      <w:rFonts w:hint="cs"/>
                      <w:rtl/>
                    </w:rPr>
                    <w:t>קביעת בורסה לענין הוראות לפי הפקודה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לענין הוראות לפי הפקודה יראו כבורסה או כבורסה מחוץ לישראל, לפי הענין, גם כל אחד מאלה:</w:t>
      </w:r>
    </w:p>
    <w:p w14:paraId="446ED05A" w14:textId="77777777" w:rsidR="00B4256D" w:rsidRDefault="00B4256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בורסה לניירות ערך או לעסקאות עתידיות, בכל מדינה מחוץ לישראל, המתנהלת על פי כללים שנקבעו בידי מי שרשאי לקבעם על פי דין במדינה שבה היא מתנהלת;</w:t>
      </w:r>
    </w:p>
    <w:p w14:paraId="6A3BDC58" w14:textId="77777777" w:rsidR="00B4256D" w:rsidRDefault="00B4256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שוק מוסדר.</w:t>
      </w:r>
    </w:p>
    <w:p w14:paraId="1580F908" w14:textId="77777777" w:rsidR="00B4256D" w:rsidRDefault="00B4256D">
      <w:pPr>
        <w:pStyle w:val="P00"/>
        <w:spacing w:before="72"/>
        <w:ind w:left="0" w:right="1134"/>
        <w:rPr>
          <w:rStyle w:val="default"/>
          <w:rFonts w:cs="FrankRuehl" w:hint="cs"/>
          <w:rtl/>
        </w:rPr>
      </w:pPr>
      <w:bookmarkStart w:id="2" w:name="Seif3"/>
      <w:bookmarkEnd w:id="2"/>
      <w:r>
        <w:rPr>
          <w:rFonts w:cs="Miriam"/>
          <w:lang w:val="he-IL"/>
        </w:rPr>
        <w:pict w14:anchorId="68FA9042">
          <v:rect id="_x0000_s1061" style="position:absolute;left:0;text-align:left;margin-left:463.5pt;margin-top:8.05pt;width:75.05pt;height:26.7pt;z-index:251657728" filled="f" stroked="f" strokecolor="lime" strokeweight=".25pt">
            <v:textbox style="mso-next-textbox:#_x0000_s1061" inset="1mm,0,1mm,0">
              <w:txbxContent>
                <w:p w14:paraId="566A021B" w14:textId="77777777" w:rsidR="00B4256D" w:rsidRDefault="00B4256D">
                  <w:pPr>
                    <w:pStyle w:val="a7"/>
                    <w:spacing w:line="160" w:lineRule="exact"/>
                    <w:rPr>
                      <w:rFonts w:hint="cs"/>
                      <w:noProof/>
                      <w:rtl/>
                    </w:rPr>
                  </w:pPr>
                  <w:r>
                    <w:rPr>
                      <w:rFonts w:hint="cs"/>
                      <w:rtl/>
                    </w:rPr>
                    <w:t>קביעת בורסה לענין סעיף 97(ג1), חלק ה3 וסעיף 125ג</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בתקנה 2, לענין סעיף 97(ג1), 101, חלק ה2, חלק ה3 וסעיף 125ג לפקודה, יראו כבורסה או כבורסה מחות לישראל, לפי הענין כל אחת מאלה:</w:t>
      </w:r>
    </w:p>
    <w:p w14:paraId="0FDE7250" w14:textId="77777777" w:rsidR="00B4256D" w:rsidRDefault="00B4256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בורסה לניירות ערך או לעסקאות עתידיות, המתנהלת במדינה גומלת על פי כללים שנקבעו בידי מי שרשאי לקבעם על פי דין במדינה שבה היא מתנהלת;</w:t>
      </w:r>
    </w:p>
    <w:p w14:paraId="63D428B3" w14:textId="77777777" w:rsidR="00B4256D" w:rsidRDefault="00B4256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שוק מוסדר במדינה גומלת.</w:t>
      </w:r>
    </w:p>
    <w:p w14:paraId="5D2A395C" w14:textId="77777777" w:rsidR="00B4256D" w:rsidRDefault="00B4256D">
      <w:pPr>
        <w:pStyle w:val="P00"/>
        <w:spacing w:before="72"/>
        <w:ind w:left="0" w:right="1134"/>
        <w:rPr>
          <w:rStyle w:val="default"/>
          <w:rFonts w:cs="FrankRuehl" w:hint="cs"/>
          <w:rtl/>
        </w:rPr>
      </w:pPr>
      <w:bookmarkStart w:id="3" w:name="Seif4"/>
      <w:bookmarkEnd w:id="3"/>
      <w:r>
        <w:rPr>
          <w:rFonts w:cs="Miriam"/>
          <w:lang w:val="he-IL"/>
        </w:rPr>
        <w:pict w14:anchorId="6F7D208C">
          <v:rect id="_x0000_s1062" style="position:absolute;left:0;text-align:left;margin-left:463.5pt;margin-top:8.05pt;width:75.05pt;height:12.05pt;z-index:251658752" filled="f" stroked="f" strokecolor="lime" strokeweight=".25pt">
            <v:textbox style="mso-next-textbox:#_x0000_s1062" inset="1mm,0,1mm,0">
              <w:txbxContent>
                <w:p w14:paraId="11FDCFC3" w14:textId="77777777" w:rsidR="00B4256D" w:rsidRDefault="00B4256D">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תחילתו של צו זה ביום כ"ז בטבת התשס"ג (1 בינואר 2003), ואולם תחילתה של תקנה 3, לענין סעיף 97(ג1) </w:t>
      </w:r>
      <w:r>
        <w:rPr>
          <w:rStyle w:val="default"/>
          <w:rFonts w:cs="FrankRuehl"/>
          <w:rtl/>
        </w:rPr>
        <w:t>–</w:t>
      </w:r>
      <w:r>
        <w:rPr>
          <w:rStyle w:val="default"/>
          <w:rFonts w:cs="FrankRuehl" w:hint="cs"/>
          <w:rtl/>
        </w:rPr>
        <w:t xml:space="preserve"> בשנת המס 2004.</w:t>
      </w:r>
    </w:p>
    <w:p w14:paraId="37E77290" w14:textId="77777777" w:rsidR="00B4256D" w:rsidRDefault="00B4256D">
      <w:pPr>
        <w:pStyle w:val="P00"/>
        <w:spacing w:before="72"/>
        <w:ind w:left="0" w:right="1134"/>
        <w:rPr>
          <w:rStyle w:val="default"/>
          <w:rFonts w:cs="FrankRuehl" w:hint="cs"/>
          <w:rtl/>
        </w:rPr>
      </w:pPr>
      <w:bookmarkStart w:id="4" w:name="Seif5"/>
      <w:bookmarkEnd w:id="4"/>
      <w:r>
        <w:rPr>
          <w:rFonts w:cs="Miriam"/>
          <w:lang w:val="he-IL"/>
        </w:rPr>
        <w:pict w14:anchorId="2E567C44">
          <v:rect id="_x0000_s1063" style="position:absolute;left:0;text-align:left;margin-left:463.5pt;margin-top:8.05pt;width:75.05pt;height:9.45pt;z-index:251659776" filled="f" stroked="f" strokecolor="lime" strokeweight=".25pt">
            <v:textbox style="mso-next-textbox:#_x0000_s1063" inset="1mm,0,1mm,0">
              <w:txbxContent>
                <w:p w14:paraId="769C8602" w14:textId="77777777" w:rsidR="00B4256D" w:rsidRDefault="00B4256D">
                  <w:pPr>
                    <w:spacing w:line="160" w:lineRule="exact"/>
                    <w:rPr>
                      <w:rFonts w:cs="Miriam" w:hint="cs"/>
                      <w:noProof/>
                      <w:sz w:val="18"/>
                      <w:szCs w:val="18"/>
                      <w:rtl/>
                    </w:rPr>
                  </w:pPr>
                  <w:r>
                    <w:rPr>
                      <w:rFonts w:cs="Miriam" w:hint="cs"/>
                      <w:sz w:val="18"/>
                      <w:szCs w:val="18"/>
                      <w:rtl/>
                    </w:rPr>
                    <w:t>הוראות שעה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בשנת המס 2003 יראו כבורסה לענין סעיף 97(א)(1) רק את הבורסה בישראל.</w:t>
      </w:r>
    </w:p>
    <w:p w14:paraId="4522C69E" w14:textId="77777777" w:rsidR="00B4256D" w:rsidRDefault="00B425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בשנות המס 2003 ו-2004 לא יחולו הוראות תקנה 3 לענין, נייר ערך זר כהגדרתו לפי סעיף 105יא או 129ב(ד) לפקודה.</w:t>
      </w:r>
    </w:p>
    <w:p w14:paraId="622A801A" w14:textId="77777777" w:rsidR="00B4256D" w:rsidRPr="00141028" w:rsidRDefault="00B4256D" w:rsidP="00141028">
      <w:pPr>
        <w:pStyle w:val="P00"/>
        <w:spacing w:before="72"/>
        <w:ind w:left="0" w:right="1134"/>
        <w:rPr>
          <w:rStyle w:val="default"/>
          <w:rFonts w:cs="FrankRuehl" w:hint="cs"/>
          <w:rtl/>
        </w:rPr>
      </w:pPr>
    </w:p>
    <w:p w14:paraId="13814415" w14:textId="77777777" w:rsidR="00B4256D" w:rsidRDefault="00B4256D" w:rsidP="00141028">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ו' בטבת התשס"ד (31 בדצמבר 2003)</w:t>
      </w:r>
      <w:r w:rsidR="00141028">
        <w:rPr>
          <w:rFonts w:cs="FrankRuehl" w:hint="cs"/>
          <w:sz w:val="26"/>
          <w:szCs w:val="26"/>
          <w:rtl/>
        </w:rPr>
        <w:tab/>
      </w:r>
      <w:r>
        <w:rPr>
          <w:rFonts w:cs="FrankRuehl" w:hint="cs"/>
          <w:sz w:val="26"/>
          <w:szCs w:val="26"/>
          <w:rtl/>
        </w:rPr>
        <w:t>בנימין נתניהו</w:t>
      </w:r>
    </w:p>
    <w:p w14:paraId="611D9CEA" w14:textId="77777777" w:rsidR="00B4256D" w:rsidRDefault="00B4256D" w:rsidP="00141028">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האוצר</w:t>
      </w:r>
    </w:p>
    <w:p w14:paraId="48199B31" w14:textId="77777777" w:rsidR="00141028" w:rsidRPr="00141028" w:rsidRDefault="00141028" w:rsidP="00141028">
      <w:pPr>
        <w:pStyle w:val="P00"/>
        <w:spacing w:before="72"/>
        <w:ind w:left="0" w:right="1134"/>
        <w:rPr>
          <w:rStyle w:val="default"/>
          <w:rFonts w:cs="FrankRuehl" w:hint="cs"/>
          <w:rtl/>
        </w:rPr>
      </w:pPr>
    </w:p>
    <w:p w14:paraId="19638D01" w14:textId="77777777" w:rsidR="00141028" w:rsidRPr="00141028" w:rsidRDefault="00141028" w:rsidP="00141028">
      <w:pPr>
        <w:pStyle w:val="P00"/>
        <w:spacing w:before="72"/>
        <w:ind w:left="0" w:right="1134"/>
        <w:rPr>
          <w:rStyle w:val="default"/>
          <w:rFonts w:cs="FrankRuehl" w:hint="cs"/>
          <w:rtl/>
        </w:rPr>
      </w:pPr>
    </w:p>
    <w:sectPr w:rsidR="00141028" w:rsidRPr="0014102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D846" w14:textId="77777777" w:rsidR="00422F90" w:rsidRDefault="00422F90">
      <w:r>
        <w:separator/>
      </w:r>
    </w:p>
  </w:endnote>
  <w:endnote w:type="continuationSeparator" w:id="0">
    <w:p w14:paraId="76BA3652" w14:textId="77777777" w:rsidR="00422F90" w:rsidRDefault="0042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729A" w14:textId="77777777" w:rsidR="00B4256D" w:rsidRDefault="00B4256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B34FEA" w14:textId="77777777" w:rsidR="00B4256D" w:rsidRDefault="00B4256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0DB945" w14:textId="77777777" w:rsidR="00B4256D" w:rsidRDefault="00B4256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696B">
      <w:rPr>
        <w:rFonts w:cs="TopType Jerushalmi"/>
        <w:noProof/>
        <w:color w:val="000000"/>
        <w:sz w:val="14"/>
        <w:szCs w:val="14"/>
      </w:rPr>
      <w:t>Z:\000000000000-law\yael\08-10-12\999_235.doc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F51B" w14:textId="77777777" w:rsidR="00B4256D" w:rsidRDefault="00B4256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24EB">
      <w:rPr>
        <w:rFonts w:hAnsi="FrankRuehl" w:cs="FrankRuehl"/>
        <w:noProof/>
        <w:sz w:val="24"/>
        <w:szCs w:val="24"/>
        <w:rtl/>
      </w:rPr>
      <w:t>1</w:t>
    </w:r>
    <w:r>
      <w:rPr>
        <w:rFonts w:hAnsi="FrankRuehl" w:cs="FrankRuehl"/>
        <w:sz w:val="24"/>
        <w:szCs w:val="24"/>
        <w:rtl/>
      </w:rPr>
      <w:fldChar w:fldCharType="end"/>
    </w:r>
  </w:p>
  <w:p w14:paraId="1CFEECF2" w14:textId="77777777" w:rsidR="00B4256D" w:rsidRDefault="00B4256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AD4B51C" w14:textId="77777777" w:rsidR="00B4256D" w:rsidRDefault="00B4256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696B">
      <w:rPr>
        <w:rFonts w:cs="TopType Jerushalmi"/>
        <w:noProof/>
        <w:color w:val="000000"/>
        <w:sz w:val="14"/>
        <w:szCs w:val="14"/>
      </w:rPr>
      <w:t>Z:\000000000000-law\yael\08-10-12\999_235.doc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1BA3" w14:textId="77777777" w:rsidR="00422F90" w:rsidRDefault="00422F90" w:rsidP="00141028">
      <w:pPr>
        <w:spacing w:before="60"/>
        <w:ind w:right="1134"/>
      </w:pPr>
      <w:r>
        <w:separator/>
      </w:r>
    </w:p>
  </w:footnote>
  <w:footnote w:type="continuationSeparator" w:id="0">
    <w:p w14:paraId="29ADFF94" w14:textId="77777777" w:rsidR="00422F90" w:rsidRDefault="00422F90">
      <w:r>
        <w:continuationSeparator/>
      </w:r>
    </w:p>
  </w:footnote>
  <w:footnote w:id="1">
    <w:p w14:paraId="3FC4F117" w14:textId="77777777" w:rsidR="00B4256D" w:rsidRDefault="00B425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780A65">
          <w:rPr>
            <w:rStyle w:val="Hyperlink"/>
            <w:rFonts w:cs="FrankRuehl" w:hint="cs"/>
            <w:rtl/>
          </w:rPr>
          <w:t>ק"ת תשס"ד מס' 6283</w:t>
        </w:r>
      </w:hyperlink>
      <w:r>
        <w:rPr>
          <w:rFonts w:cs="FrankRuehl" w:hint="cs"/>
          <w:rtl/>
        </w:rPr>
        <w:t xml:space="preserve"> מיום 1.1.2004 עמ'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4419" w14:textId="77777777" w:rsidR="00B4256D" w:rsidRDefault="00B4256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5692EE0" w14:textId="77777777" w:rsidR="00B4256D" w:rsidRDefault="00B4256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381F44" w14:textId="77777777" w:rsidR="00B4256D" w:rsidRDefault="00B4256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7AE7" w14:textId="77777777" w:rsidR="00B4256D" w:rsidRDefault="00B4256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(קביעת בורסה), תשס"ד-2004</w:t>
    </w:r>
  </w:p>
  <w:p w14:paraId="5ACDB467" w14:textId="77777777" w:rsidR="00B4256D" w:rsidRDefault="00B4256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08EAE02" w14:textId="77777777" w:rsidR="00B4256D" w:rsidRDefault="00B4256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8388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A65"/>
    <w:rsid w:val="001124EB"/>
    <w:rsid w:val="00141028"/>
    <w:rsid w:val="0040696B"/>
    <w:rsid w:val="00422F90"/>
    <w:rsid w:val="006653A0"/>
    <w:rsid w:val="0077412C"/>
    <w:rsid w:val="00780A65"/>
    <w:rsid w:val="00850023"/>
    <w:rsid w:val="008C4F86"/>
    <w:rsid w:val="00B4256D"/>
    <w:rsid w:val="00FF45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40041CEA"/>
  <w15:chartTrackingRefBased/>
  <w15:docId w15:val="{B828247B-2465-40DE-9EA6-2A8A8C4B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2317</CharactersWithSpaces>
  <SharedDoc>false</SharedDoc>
  <HLinks>
    <vt:vector size="36" baseType="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0</vt:i4>
      </vt:variant>
      <vt:variant>
        <vt:i4>0</vt:i4>
      </vt:variant>
      <vt:variant>
        <vt:i4>5</vt:i4>
      </vt:variant>
      <vt:variant>
        <vt:lpwstr>http://www.nevo.co.il/Law_word/law06/TAK-6283.pdf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(קביעת בורסה), תשס"ד-2004</vt:lpwstr>
  </property>
  <property fmtid="{D5CDD505-2E9C-101B-9397-08002B2CF9AE}" pid="4" name="LAWNUMBER">
    <vt:lpwstr>0235</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 </vt:lpwstr>
  </property>
  <property fmtid="{D5CDD505-2E9C-101B-9397-08002B2CF9AE}" pid="8" name="MEKOR_SAIF1">
    <vt:lpwstr>1X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בורסה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