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12C" w:rsidRDefault="002B512C" w:rsidP="008901B9">
      <w:pPr>
        <w:pStyle w:val="big-header"/>
        <w:ind w:left="0" w:right="1134"/>
      </w:pPr>
      <w:r>
        <w:rPr>
          <w:rFonts w:hint="cs"/>
          <w:rtl/>
        </w:rPr>
        <w:t>צו מס הכנסה (קביעת דמי השאלה כהכנסה), תשס"ג-2002</w:t>
      </w:r>
    </w:p>
    <w:p w:rsidR="00B94000" w:rsidRPr="00B94000" w:rsidRDefault="00B94000" w:rsidP="00B94000">
      <w:pPr>
        <w:spacing w:line="320" w:lineRule="auto"/>
        <w:jc w:val="left"/>
        <w:rPr>
          <w:rFonts w:cs="FrankRuehl"/>
          <w:szCs w:val="26"/>
          <w:rtl/>
        </w:rPr>
      </w:pPr>
    </w:p>
    <w:p w:rsidR="00B94000" w:rsidRDefault="00B94000" w:rsidP="00B94000">
      <w:pPr>
        <w:spacing w:line="320" w:lineRule="auto"/>
        <w:jc w:val="left"/>
        <w:rPr>
          <w:rtl/>
        </w:rPr>
      </w:pPr>
    </w:p>
    <w:p w:rsidR="00B94000" w:rsidRPr="00B94000" w:rsidRDefault="00B94000" w:rsidP="00B94000">
      <w:pPr>
        <w:spacing w:line="320" w:lineRule="auto"/>
        <w:jc w:val="left"/>
        <w:rPr>
          <w:rFonts w:cs="Miriam"/>
          <w:szCs w:val="22"/>
          <w:rtl/>
        </w:rPr>
      </w:pPr>
      <w:r w:rsidRPr="00B94000">
        <w:rPr>
          <w:rFonts w:cs="Miriam"/>
          <w:szCs w:val="22"/>
          <w:rtl/>
        </w:rPr>
        <w:t>מסים</w:t>
      </w:r>
      <w:r w:rsidRPr="00B94000">
        <w:rPr>
          <w:rFonts w:cs="FrankRuehl"/>
          <w:szCs w:val="26"/>
          <w:rtl/>
        </w:rPr>
        <w:t xml:space="preserve"> – מס הכנסה – קביעות וכללים – קביעה כהכנסה</w:t>
      </w:r>
    </w:p>
    <w:p w:rsidR="008901B9" w:rsidRDefault="008901B9" w:rsidP="008901B9">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C65EE" w:rsidRPr="007C65EE">
        <w:tblPrEx>
          <w:tblCellMar>
            <w:top w:w="0" w:type="dxa"/>
            <w:bottom w:w="0" w:type="dxa"/>
          </w:tblCellMar>
        </w:tblPrEx>
        <w:tc>
          <w:tcPr>
            <w:tcW w:w="1247" w:type="dxa"/>
          </w:tcPr>
          <w:p w:rsidR="007C65EE" w:rsidRPr="007C65EE" w:rsidRDefault="007C65EE" w:rsidP="007C65EE">
            <w:pPr>
              <w:spacing w:line="240" w:lineRule="auto"/>
              <w:jc w:val="left"/>
              <w:rPr>
                <w:rFonts w:cs="Frankruhel" w:hint="cs"/>
                <w:sz w:val="24"/>
                <w:rtl/>
              </w:rPr>
            </w:pPr>
            <w:r>
              <w:rPr>
                <w:rFonts w:cs="Times New Roman"/>
                <w:sz w:val="24"/>
                <w:rtl/>
              </w:rPr>
              <w:t xml:space="preserve">סעיף 1 </w:t>
            </w:r>
          </w:p>
        </w:tc>
        <w:tc>
          <w:tcPr>
            <w:tcW w:w="5669" w:type="dxa"/>
          </w:tcPr>
          <w:p w:rsidR="007C65EE" w:rsidRPr="007C65EE" w:rsidRDefault="007C65EE" w:rsidP="007C65EE">
            <w:pPr>
              <w:spacing w:line="240" w:lineRule="auto"/>
              <w:jc w:val="left"/>
              <w:rPr>
                <w:rFonts w:cs="Frankruhel" w:hint="cs"/>
                <w:sz w:val="24"/>
                <w:rtl/>
              </w:rPr>
            </w:pPr>
            <w:r>
              <w:rPr>
                <w:rFonts w:cs="Times New Roman"/>
                <w:sz w:val="24"/>
                <w:rtl/>
              </w:rPr>
              <w:t>הגדרות</w:t>
            </w:r>
          </w:p>
        </w:tc>
        <w:tc>
          <w:tcPr>
            <w:tcW w:w="567" w:type="dxa"/>
          </w:tcPr>
          <w:p w:rsidR="007C65EE" w:rsidRPr="007C65EE" w:rsidRDefault="007C65EE" w:rsidP="007C65EE">
            <w:pPr>
              <w:spacing w:line="240" w:lineRule="auto"/>
              <w:jc w:val="left"/>
              <w:rPr>
                <w:rStyle w:val="Hyperlink"/>
                <w:rFonts w:hint="cs"/>
                <w:rtl/>
              </w:rPr>
            </w:pPr>
            <w:hyperlink w:anchor="Seif1" w:tooltip="הגדרות" w:history="1">
              <w:r w:rsidRPr="007C65EE">
                <w:rPr>
                  <w:rStyle w:val="Hyperlink"/>
                </w:rPr>
                <w:t>Go</w:t>
              </w:r>
            </w:hyperlink>
          </w:p>
        </w:tc>
        <w:tc>
          <w:tcPr>
            <w:tcW w:w="850" w:type="dxa"/>
          </w:tcPr>
          <w:p w:rsidR="007C65EE" w:rsidRPr="007C65EE" w:rsidRDefault="007C65EE" w:rsidP="007C65E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65EE" w:rsidRPr="007C65EE">
        <w:tblPrEx>
          <w:tblCellMar>
            <w:top w:w="0" w:type="dxa"/>
            <w:bottom w:w="0" w:type="dxa"/>
          </w:tblCellMar>
        </w:tblPrEx>
        <w:tc>
          <w:tcPr>
            <w:tcW w:w="1247" w:type="dxa"/>
          </w:tcPr>
          <w:p w:rsidR="007C65EE" w:rsidRPr="007C65EE" w:rsidRDefault="007C65EE" w:rsidP="007C65EE">
            <w:pPr>
              <w:spacing w:line="240" w:lineRule="auto"/>
              <w:jc w:val="left"/>
              <w:rPr>
                <w:rFonts w:cs="Frankruhel" w:hint="cs"/>
                <w:sz w:val="24"/>
                <w:rtl/>
              </w:rPr>
            </w:pPr>
            <w:r>
              <w:rPr>
                <w:rFonts w:cs="Times New Roman"/>
                <w:sz w:val="24"/>
                <w:rtl/>
              </w:rPr>
              <w:t xml:space="preserve">סעיף 2 </w:t>
            </w:r>
          </w:p>
        </w:tc>
        <w:tc>
          <w:tcPr>
            <w:tcW w:w="5669" w:type="dxa"/>
          </w:tcPr>
          <w:p w:rsidR="007C65EE" w:rsidRPr="007C65EE" w:rsidRDefault="007C65EE" w:rsidP="007C65EE">
            <w:pPr>
              <w:spacing w:line="240" w:lineRule="auto"/>
              <w:jc w:val="left"/>
              <w:rPr>
                <w:rFonts w:cs="Frankruhel" w:hint="cs"/>
                <w:sz w:val="24"/>
                <w:rtl/>
              </w:rPr>
            </w:pPr>
            <w:r>
              <w:rPr>
                <w:rFonts w:cs="Times New Roman"/>
                <w:sz w:val="24"/>
                <w:rtl/>
              </w:rPr>
              <w:t>קביעת דמי השאלה כהכנסה</w:t>
            </w:r>
          </w:p>
        </w:tc>
        <w:tc>
          <w:tcPr>
            <w:tcW w:w="567" w:type="dxa"/>
          </w:tcPr>
          <w:p w:rsidR="007C65EE" w:rsidRPr="007C65EE" w:rsidRDefault="007C65EE" w:rsidP="007C65EE">
            <w:pPr>
              <w:spacing w:line="240" w:lineRule="auto"/>
              <w:jc w:val="left"/>
              <w:rPr>
                <w:rStyle w:val="Hyperlink"/>
                <w:rFonts w:hint="cs"/>
                <w:rtl/>
              </w:rPr>
            </w:pPr>
            <w:hyperlink w:anchor="Seif2" w:tooltip="קביעת דמי השאלה כהכנסה" w:history="1">
              <w:r w:rsidRPr="007C65EE">
                <w:rPr>
                  <w:rStyle w:val="Hyperlink"/>
                </w:rPr>
                <w:t>Go</w:t>
              </w:r>
            </w:hyperlink>
          </w:p>
        </w:tc>
        <w:tc>
          <w:tcPr>
            <w:tcW w:w="850" w:type="dxa"/>
          </w:tcPr>
          <w:p w:rsidR="007C65EE" w:rsidRPr="007C65EE" w:rsidRDefault="007C65EE" w:rsidP="007C65E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65EE" w:rsidRPr="007C65EE">
        <w:tblPrEx>
          <w:tblCellMar>
            <w:top w:w="0" w:type="dxa"/>
            <w:bottom w:w="0" w:type="dxa"/>
          </w:tblCellMar>
        </w:tblPrEx>
        <w:tc>
          <w:tcPr>
            <w:tcW w:w="1247" w:type="dxa"/>
          </w:tcPr>
          <w:p w:rsidR="007C65EE" w:rsidRPr="007C65EE" w:rsidRDefault="007C65EE" w:rsidP="007C65EE">
            <w:pPr>
              <w:spacing w:line="240" w:lineRule="auto"/>
              <w:jc w:val="left"/>
              <w:rPr>
                <w:rFonts w:cs="Frankruhel" w:hint="cs"/>
                <w:sz w:val="24"/>
                <w:rtl/>
              </w:rPr>
            </w:pPr>
            <w:r>
              <w:rPr>
                <w:rFonts w:cs="Times New Roman"/>
                <w:sz w:val="24"/>
                <w:rtl/>
              </w:rPr>
              <w:t xml:space="preserve">סעיף 3 </w:t>
            </w:r>
          </w:p>
        </w:tc>
        <w:tc>
          <w:tcPr>
            <w:tcW w:w="5669" w:type="dxa"/>
          </w:tcPr>
          <w:p w:rsidR="007C65EE" w:rsidRPr="007C65EE" w:rsidRDefault="007C65EE" w:rsidP="007C65EE">
            <w:pPr>
              <w:spacing w:line="240" w:lineRule="auto"/>
              <w:jc w:val="left"/>
              <w:rPr>
                <w:rFonts w:cs="Frankruhel" w:hint="cs"/>
                <w:sz w:val="24"/>
                <w:rtl/>
              </w:rPr>
            </w:pPr>
            <w:r>
              <w:rPr>
                <w:rFonts w:cs="Times New Roman"/>
                <w:sz w:val="24"/>
                <w:rtl/>
              </w:rPr>
              <w:t>ביטול צווים</w:t>
            </w:r>
          </w:p>
        </w:tc>
        <w:tc>
          <w:tcPr>
            <w:tcW w:w="567" w:type="dxa"/>
          </w:tcPr>
          <w:p w:rsidR="007C65EE" w:rsidRPr="007C65EE" w:rsidRDefault="007C65EE" w:rsidP="007C65EE">
            <w:pPr>
              <w:spacing w:line="240" w:lineRule="auto"/>
              <w:jc w:val="left"/>
              <w:rPr>
                <w:rStyle w:val="Hyperlink"/>
                <w:rFonts w:hint="cs"/>
                <w:rtl/>
              </w:rPr>
            </w:pPr>
            <w:hyperlink w:anchor="Seif3" w:tooltip="ביטול צווים" w:history="1">
              <w:r w:rsidRPr="007C65EE">
                <w:rPr>
                  <w:rStyle w:val="Hyperlink"/>
                </w:rPr>
                <w:t>Go</w:t>
              </w:r>
            </w:hyperlink>
          </w:p>
        </w:tc>
        <w:tc>
          <w:tcPr>
            <w:tcW w:w="850" w:type="dxa"/>
          </w:tcPr>
          <w:p w:rsidR="007C65EE" w:rsidRPr="007C65EE" w:rsidRDefault="007C65EE" w:rsidP="007C65E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65EE" w:rsidRPr="007C65EE">
        <w:tblPrEx>
          <w:tblCellMar>
            <w:top w:w="0" w:type="dxa"/>
            <w:bottom w:w="0" w:type="dxa"/>
          </w:tblCellMar>
        </w:tblPrEx>
        <w:tc>
          <w:tcPr>
            <w:tcW w:w="1247" w:type="dxa"/>
          </w:tcPr>
          <w:p w:rsidR="007C65EE" w:rsidRPr="007C65EE" w:rsidRDefault="007C65EE" w:rsidP="007C65EE">
            <w:pPr>
              <w:spacing w:line="240" w:lineRule="auto"/>
              <w:jc w:val="left"/>
              <w:rPr>
                <w:rFonts w:cs="Frankruhel" w:hint="cs"/>
                <w:sz w:val="24"/>
                <w:rtl/>
              </w:rPr>
            </w:pPr>
            <w:r>
              <w:rPr>
                <w:rFonts w:cs="Times New Roman"/>
                <w:sz w:val="24"/>
                <w:rtl/>
              </w:rPr>
              <w:t xml:space="preserve">סעיף 4 </w:t>
            </w:r>
          </w:p>
        </w:tc>
        <w:tc>
          <w:tcPr>
            <w:tcW w:w="5669" w:type="dxa"/>
          </w:tcPr>
          <w:p w:rsidR="007C65EE" w:rsidRPr="007C65EE" w:rsidRDefault="007C65EE" w:rsidP="007C65EE">
            <w:pPr>
              <w:spacing w:line="240" w:lineRule="auto"/>
              <w:jc w:val="left"/>
              <w:rPr>
                <w:rFonts w:cs="Frankruhel" w:hint="cs"/>
                <w:sz w:val="24"/>
                <w:rtl/>
              </w:rPr>
            </w:pPr>
            <w:r>
              <w:rPr>
                <w:rFonts w:cs="Times New Roman"/>
                <w:sz w:val="24"/>
                <w:rtl/>
              </w:rPr>
              <w:t>תחולה</w:t>
            </w:r>
          </w:p>
        </w:tc>
        <w:tc>
          <w:tcPr>
            <w:tcW w:w="567" w:type="dxa"/>
          </w:tcPr>
          <w:p w:rsidR="007C65EE" w:rsidRPr="007C65EE" w:rsidRDefault="007C65EE" w:rsidP="007C65EE">
            <w:pPr>
              <w:spacing w:line="240" w:lineRule="auto"/>
              <w:jc w:val="left"/>
              <w:rPr>
                <w:rStyle w:val="Hyperlink"/>
                <w:rFonts w:hint="cs"/>
                <w:rtl/>
              </w:rPr>
            </w:pPr>
            <w:hyperlink w:anchor="Seif4" w:tooltip="תחולה" w:history="1">
              <w:r w:rsidRPr="007C65EE">
                <w:rPr>
                  <w:rStyle w:val="Hyperlink"/>
                </w:rPr>
                <w:t>Go</w:t>
              </w:r>
            </w:hyperlink>
          </w:p>
        </w:tc>
        <w:tc>
          <w:tcPr>
            <w:tcW w:w="850" w:type="dxa"/>
          </w:tcPr>
          <w:p w:rsidR="007C65EE" w:rsidRPr="007C65EE" w:rsidRDefault="007C65EE" w:rsidP="007C65E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8901B9" w:rsidRDefault="008901B9" w:rsidP="008901B9">
      <w:pPr>
        <w:pStyle w:val="big-header"/>
        <w:ind w:left="0" w:right="1134"/>
        <w:rPr>
          <w:rFonts w:hint="cs"/>
          <w:rtl/>
        </w:rPr>
      </w:pPr>
    </w:p>
    <w:p w:rsidR="008901B9" w:rsidRDefault="008901B9" w:rsidP="00B94000">
      <w:pPr>
        <w:pStyle w:val="big-header"/>
        <w:ind w:left="0" w:right="1134"/>
        <w:rPr>
          <w:rStyle w:val="default"/>
          <w:rFonts w:cs="FrankRuehl" w:hint="cs"/>
          <w:rtl/>
        </w:rPr>
      </w:pPr>
      <w:r>
        <w:rPr>
          <w:rtl/>
        </w:rPr>
        <w:br w:type="page"/>
      </w:r>
      <w:r>
        <w:rPr>
          <w:rFonts w:hint="cs"/>
          <w:rtl/>
        </w:rPr>
        <w:lastRenderedPageBreak/>
        <w:t>צו מס הכנסה (קביעת דמי השאלה כהכנסה), תשס"ג-2002</w:t>
      </w:r>
      <w:r>
        <w:rPr>
          <w:rStyle w:val="default"/>
          <w:sz w:val="22"/>
          <w:szCs w:val="22"/>
          <w:rtl/>
        </w:rPr>
        <w:footnoteReference w:customMarkFollows="1" w:id="1"/>
        <w:t>*</w:t>
      </w:r>
    </w:p>
    <w:p w:rsidR="002B512C" w:rsidRDefault="002B512C">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סעיף 164 לפקודת מס הכנסה (להלן </w:t>
      </w:r>
      <w:r>
        <w:rPr>
          <w:rStyle w:val="default"/>
          <w:rFonts w:cs="FrankRuehl"/>
          <w:rtl/>
        </w:rPr>
        <w:t>–</w:t>
      </w:r>
      <w:r>
        <w:rPr>
          <w:rStyle w:val="default"/>
          <w:rFonts w:cs="FrankRuehl" w:hint="cs"/>
          <w:rtl/>
        </w:rPr>
        <w:t xml:space="preserve"> הפקודה), ובאישור ועדת הכספים של הכנסת, אני מצווה לאמור:</w:t>
      </w:r>
    </w:p>
    <w:p w:rsidR="002B512C" w:rsidRDefault="002B512C">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56192" o:allowincell="f" filled="f" stroked="f" strokecolor="lime" strokeweight=".25pt">
            <v:textbox style="mso-next-textbox:#_x0000_s1026" inset="0,0,0,0">
              <w:txbxContent>
                <w:p w:rsidR="002B512C" w:rsidRDefault="002B512C">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בצו זה </w:t>
      </w:r>
      <w:r>
        <w:rPr>
          <w:rStyle w:val="default"/>
          <w:rFonts w:cs="FrankRuehl"/>
          <w:rtl/>
        </w:rPr>
        <w:t>–</w:t>
      </w:r>
    </w:p>
    <w:p w:rsidR="002B512C" w:rsidRDefault="002B512C">
      <w:pPr>
        <w:pStyle w:val="P00"/>
        <w:spacing w:before="72"/>
        <w:ind w:left="0" w:right="1134"/>
        <w:rPr>
          <w:rStyle w:val="default"/>
          <w:rFonts w:cs="FrankRuehl" w:hint="cs"/>
          <w:rtl/>
        </w:rPr>
      </w:pPr>
      <w:r>
        <w:rPr>
          <w:rStyle w:val="default"/>
          <w:rFonts w:cs="FrankRuehl" w:hint="cs"/>
          <w:rtl/>
        </w:rPr>
        <w:tab/>
        <w:t xml:space="preserve">"דמי השאלה" </w:t>
      </w:r>
      <w:r>
        <w:rPr>
          <w:rStyle w:val="default"/>
          <w:rFonts w:cs="FrankRuehl"/>
          <w:rtl/>
        </w:rPr>
        <w:t>–</w:t>
      </w:r>
      <w:r>
        <w:rPr>
          <w:rStyle w:val="default"/>
          <w:rFonts w:cs="FrankRuehl" w:hint="cs"/>
          <w:rtl/>
        </w:rPr>
        <w:t xml:space="preserve"> סכומים שמשלם שואל למשאיל; ולענין השאלה מוטבת </w:t>
      </w:r>
      <w:r>
        <w:rPr>
          <w:rStyle w:val="default"/>
          <w:rFonts w:cs="FrankRuehl"/>
          <w:rtl/>
        </w:rPr>
        <w:t>–</w:t>
      </w:r>
      <w:r>
        <w:rPr>
          <w:rStyle w:val="default"/>
          <w:rFonts w:cs="FrankRuehl" w:hint="cs"/>
          <w:rtl/>
        </w:rPr>
        <w:t xml:space="preserve"> למעט תחליף דיבידנד או תחליף ריבית, לפי הענין;</w:t>
      </w:r>
    </w:p>
    <w:p w:rsidR="002B512C" w:rsidRDefault="002B512C">
      <w:pPr>
        <w:pStyle w:val="P00"/>
        <w:spacing w:before="72"/>
        <w:ind w:left="0" w:right="1134"/>
        <w:rPr>
          <w:rStyle w:val="default"/>
          <w:rFonts w:cs="FrankRuehl" w:hint="cs"/>
          <w:rtl/>
        </w:rPr>
      </w:pPr>
      <w:r>
        <w:rPr>
          <w:rStyle w:val="default"/>
          <w:rFonts w:cs="FrankRuehl" w:hint="cs"/>
          <w:rtl/>
        </w:rPr>
        <w:tab/>
        <w:t xml:space="preserve">"השאלה מוטבת" </w:t>
      </w:r>
      <w:r>
        <w:rPr>
          <w:rStyle w:val="default"/>
          <w:rFonts w:cs="FrankRuehl"/>
          <w:rtl/>
        </w:rPr>
        <w:t>–</w:t>
      </w:r>
      <w:r>
        <w:rPr>
          <w:rStyle w:val="default"/>
          <w:rFonts w:cs="FrankRuehl" w:hint="cs"/>
          <w:rtl/>
        </w:rPr>
        <w:t xml:space="preserve"> השאלת נייר ערך הנסחר בבורסה בישראל שמתקיימים בה כל אלה:</w:t>
      </w:r>
    </w:p>
    <w:p w:rsidR="002B512C" w:rsidRDefault="002B51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ההשאלה נעשתה בהתאם לתנאים הקבועים בתקנון הבורסה;</w:t>
      </w:r>
    </w:p>
    <w:p w:rsidR="002B512C" w:rsidRDefault="002B512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ההשאלה אינה מקרוב, אינה ממעביד, ממספק שירותים או מלקוח, אלא אם כן הוכח לפקיד השומה שהשאלת נייר הערך נעשתה בתום לב ובלי שהצדדים לעסקה ידעו על התקשרותו של קרובם, מעבידם, לקוחם, או ספק השירותים, לפי הענין, באותה עסקה;</w:t>
      </w:r>
    </w:p>
    <w:p w:rsidR="002B512C" w:rsidRDefault="002B512C">
      <w:pPr>
        <w:pStyle w:val="P00"/>
        <w:spacing w:before="72"/>
        <w:ind w:left="0" w:right="1134"/>
        <w:rPr>
          <w:rStyle w:val="default"/>
          <w:rFonts w:cs="FrankRuehl" w:hint="cs"/>
          <w:rtl/>
        </w:rPr>
      </w:pPr>
      <w:r>
        <w:rPr>
          <w:rStyle w:val="default"/>
          <w:rFonts w:cs="FrankRuehl" w:hint="cs"/>
          <w:rtl/>
        </w:rPr>
        <w:tab/>
        <w:t xml:space="preserve">"משאיל" </w:t>
      </w:r>
      <w:r>
        <w:rPr>
          <w:rStyle w:val="default"/>
          <w:rFonts w:cs="FrankRuehl"/>
          <w:rtl/>
        </w:rPr>
        <w:t>–</w:t>
      </w:r>
      <w:r>
        <w:rPr>
          <w:rStyle w:val="default"/>
          <w:rFonts w:cs="FrankRuehl" w:hint="cs"/>
          <w:rtl/>
        </w:rPr>
        <w:t xml:space="preserve"> אדם המשאיל נייר ערך, תמורת דמי השאלה, תחליף דיבידנד או תחליף ריבית;</w:t>
      </w:r>
    </w:p>
    <w:p w:rsidR="002B512C" w:rsidRDefault="002B512C">
      <w:pPr>
        <w:pStyle w:val="P00"/>
        <w:spacing w:before="72"/>
        <w:ind w:left="0" w:right="1134"/>
        <w:rPr>
          <w:rStyle w:val="default"/>
          <w:rFonts w:cs="FrankRuehl" w:hint="cs"/>
          <w:rtl/>
        </w:rPr>
      </w:pPr>
      <w:r>
        <w:rPr>
          <w:rStyle w:val="default"/>
          <w:rFonts w:cs="FrankRuehl" w:hint="cs"/>
          <w:rtl/>
        </w:rPr>
        <w:tab/>
        <w:t xml:space="preserve">"נייר ערך" </w:t>
      </w:r>
      <w:r>
        <w:rPr>
          <w:rStyle w:val="default"/>
          <w:rFonts w:cs="FrankRuehl"/>
          <w:rtl/>
        </w:rPr>
        <w:t>–</w:t>
      </w:r>
      <w:r>
        <w:rPr>
          <w:rStyle w:val="default"/>
          <w:rFonts w:cs="FrankRuehl" w:hint="cs"/>
          <w:rtl/>
        </w:rPr>
        <w:t xml:space="preserve"> כהגדרתו בסעיף 105יא לפקודה;</w:t>
      </w:r>
    </w:p>
    <w:p w:rsidR="002B512C" w:rsidRDefault="002B512C">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כהגדרתו בסעיף 105יא לפקודה, למעט קרנות נאמנות חייבות המוחזקות על ידי אדם אחד, במישרין או בעקיפין;</w:t>
      </w:r>
    </w:p>
    <w:p w:rsidR="002B512C" w:rsidRDefault="002B512C">
      <w:pPr>
        <w:pStyle w:val="P00"/>
        <w:spacing w:before="72"/>
        <w:ind w:left="0" w:right="1134"/>
        <w:rPr>
          <w:rStyle w:val="default"/>
          <w:rFonts w:cs="FrankRuehl" w:hint="cs"/>
          <w:rtl/>
        </w:rPr>
      </w:pPr>
      <w:r>
        <w:rPr>
          <w:rStyle w:val="default"/>
          <w:rFonts w:cs="FrankRuehl" w:hint="cs"/>
          <w:rtl/>
        </w:rPr>
        <w:tab/>
        <w:t xml:space="preserve">"שואל" </w:t>
      </w:r>
      <w:r>
        <w:rPr>
          <w:rStyle w:val="default"/>
          <w:rFonts w:cs="FrankRuehl"/>
          <w:rtl/>
        </w:rPr>
        <w:t>–</w:t>
      </w:r>
      <w:r>
        <w:rPr>
          <w:rStyle w:val="default"/>
          <w:rFonts w:cs="FrankRuehl" w:hint="cs"/>
          <w:rtl/>
        </w:rPr>
        <w:t xml:space="preserve"> אדם השואל נייר ערך, תמורת דמי השאלה, תחליף דיבידנד או תחליף ריבית;</w:t>
      </w:r>
    </w:p>
    <w:p w:rsidR="002B512C" w:rsidRDefault="002B512C">
      <w:pPr>
        <w:pStyle w:val="P00"/>
        <w:spacing w:before="72"/>
        <w:ind w:left="0" w:right="1134"/>
        <w:rPr>
          <w:rStyle w:val="default"/>
          <w:rFonts w:cs="FrankRuehl" w:hint="cs"/>
          <w:rtl/>
        </w:rPr>
      </w:pPr>
      <w:r>
        <w:rPr>
          <w:rStyle w:val="default"/>
          <w:rFonts w:cs="FrankRuehl" w:hint="cs"/>
          <w:rtl/>
        </w:rPr>
        <w:tab/>
        <w:t xml:space="preserve">"תחליף דיבידנד" </w:t>
      </w:r>
      <w:r>
        <w:rPr>
          <w:rStyle w:val="default"/>
          <w:rFonts w:cs="FrankRuehl"/>
          <w:rtl/>
        </w:rPr>
        <w:t>–</w:t>
      </w:r>
      <w:r>
        <w:rPr>
          <w:rStyle w:val="default"/>
          <w:rFonts w:cs="FrankRuehl" w:hint="cs"/>
          <w:rtl/>
        </w:rPr>
        <w:t xml:space="preserve"> סכומים שמשלם שואל למשאיל בהשאלה מוטבת, בגובה סכומי דיבידנד שהיה המשאיל מקבל באותו מועד בשל מניה אילו לא השאיל אותה;</w:t>
      </w:r>
    </w:p>
    <w:p w:rsidR="002B512C" w:rsidRDefault="002B512C">
      <w:pPr>
        <w:pStyle w:val="P00"/>
        <w:spacing w:before="72"/>
        <w:ind w:left="0" w:right="1134"/>
        <w:rPr>
          <w:rStyle w:val="default"/>
          <w:rFonts w:cs="FrankRuehl" w:hint="cs"/>
          <w:rtl/>
        </w:rPr>
      </w:pPr>
      <w:r>
        <w:rPr>
          <w:rStyle w:val="default"/>
          <w:rFonts w:cs="FrankRuehl" w:hint="cs"/>
          <w:rtl/>
        </w:rPr>
        <w:tab/>
        <w:t xml:space="preserve">"תחליף ריבית" </w:t>
      </w:r>
      <w:r>
        <w:rPr>
          <w:rStyle w:val="default"/>
          <w:rFonts w:cs="FrankRuehl"/>
          <w:rtl/>
        </w:rPr>
        <w:t>–</w:t>
      </w:r>
      <w:r>
        <w:rPr>
          <w:rStyle w:val="default"/>
          <w:rFonts w:cs="FrankRuehl" w:hint="cs"/>
          <w:rtl/>
        </w:rPr>
        <w:t xml:space="preserve"> סכומים שמשלם שואל למשאיל בהשאלה מוטבת, בגובה סכומי ריבית שהיה המשאיל מקבל באותו מועד בשל איגרת חוב אילו לא השאיל אותה.</w:t>
      </w:r>
    </w:p>
    <w:p w:rsidR="002B512C" w:rsidRDefault="002B512C">
      <w:pPr>
        <w:pStyle w:val="P00"/>
        <w:spacing w:before="72"/>
        <w:ind w:left="0" w:right="1134"/>
        <w:rPr>
          <w:rStyle w:val="default"/>
          <w:rFonts w:cs="FrankRuehl" w:hint="cs"/>
          <w:rtl/>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2.2pt;width:1in;height:22.45pt;z-index:251657216" filled="f" stroked="f">
            <v:textbox inset="1mm,,1mm">
              <w:txbxContent>
                <w:p w:rsidR="002B512C" w:rsidRDefault="002B512C">
                  <w:pPr>
                    <w:spacing w:line="160" w:lineRule="exact"/>
                    <w:jc w:val="left"/>
                    <w:rPr>
                      <w:rFonts w:cs="Miriam" w:hint="cs"/>
                      <w:szCs w:val="18"/>
                      <w:rtl/>
                    </w:rPr>
                  </w:pPr>
                  <w:r>
                    <w:rPr>
                      <w:rFonts w:cs="Miriam" w:hint="cs"/>
                      <w:szCs w:val="18"/>
                      <w:rtl/>
                    </w:rPr>
                    <w:t>קביעת דמי השאלה כהכנסה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דמי השאלה, תחליף דיבידנד ותחליף ריבית ששולמו למשאיל הם הכנסה לענין סעיף 164 לפקודה.</w:t>
      </w:r>
    </w:p>
    <w:p w:rsidR="002B512C" w:rsidRDefault="002B512C">
      <w:pPr>
        <w:pStyle w:val="P00"/>
        <w:spacing w:before="72"/>
        <w:ind w:left="0" w:right="1134"/>
        <w:rPr>
          <w:rStyle w:val="default"/>
          <w:rFonts w:cs="FrankRuehl" w:hint="cs"/>
          <w:rtl/>
        </w:rPr>
      </w:pPr>
      <w:bookmarkStart w:id="2" w:name="Seif3"/>
      <w:bookmarkEnd w:id="2"/>
      <w:r>
        <w:rPr>
          <w:rFonts w:cs="Miriam"/>
          <w:szCs w:val="32"/>
          <w:rtl/>
          <w:lang w:val="he-IL"/>
        </w:rPr>
        <w:pict>
          <v:shape id="_x0000_s1078" type="#_x0000_t202" style="position:absolute;left:0;text-align:left;margin-left:470.25pt;margin-top:5.2pt;width:1in;height:22.4pt;z-index:251658240" filled="f" stroked="f">
            <v:textbox style="mso-next-textbox:#_x0000_s1078" inset="1mm,,1mm">
              <w:txbxContent>
                <w:p w:rsidR="002B512C" w:rsidRDefault="002B512C">
                  <w:pPr>
                    <w:spacing w:line="160" w:lineRule="exact"/>
                    <w:jc w:val="left"/>
                    <w:rPr>
                      <w:rFonts w:cs="Miriam" w:hint="cs"/>
                      <w:szCs w:val="18"/>
                      <w:rtl/>
                    </w:rPr>
                  </w:pPr>
                  <w:r>
                    <w:rPr>
                      <w:rFonts w:cs="Miriam" w:hint="cs"/>
                      <w:szCs w:val="18"/>
                      <w:rtl/>
                    </w:rPr>
                    <w:t>ביטול צווים</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 xml:space="preserve">בטלים </w:t>
      </w:r>
      <w:r>
        <w:rPr>
          <w:rStyle w:val="default"/>
          <w:rFonts w:cs="FrankRuehl"/>
          <w:rtl/>
        </w:rPr>
        <w:t>–</w:t>
      </w:r>
    </w:p>
    <w:p w:rsidR="002B512C" w:rsidRDefault="002B512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מס הכנסה (ניכוי במקור מדיבידנד מאת שואל), התשנ"ב-1992;</w:t>
      </w:r>
    </w:p>
    <w:p w:rsidR="002B512C" w:rsidRDefault="002B512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צו מס הכנסה (ניכוי במקור מדמי השאלה), התשנ"ב-1992.</w:t>
      </w:r>
    </w:p>
    <w:p w:rsidR="002B512C" w:rsidRDefault="002B512C">
      <w:pPr>
        <w:pStyle w:val="P00"/>
        <w:spacing w:before="72"/>
        <w:ind w:left="0" w:right="1134"/>
        <w:rPr>
          <w:rStyle w:val="default"/>
          <w:rFonts w:cs="FrankRuehl" w:hint="cs"/>
          <w:rtl/>
        </w:rPr>
      </w:pPr>
      <w:bookmarkStart w:id="3" w:name="Seif4"/>
      <w:bookmarkEnd w:id="3"/>
      <w:r>
        <w:rPr>
          <w:rFonts w:cs="Miriam"/>
          <w:szCs w:val="32"/>
          <w:rtl/>
          <w:lang w:val="he-IL"/>
        </w:rPr>
        <w:pict>
          <v:shape id="_x0000_s1079" type="#_x0000_t202" style="position:absolute;left:0;text-align:left;margin-left:462pt;margin-top:4.65pt;width:1in;height:22.4pt;z-index:251659264" filled="f" stroked="f">
            <v:textbox inset="1mm,,1mm">
              <w:txbxContent>
                <w:p w:rsidR="002B512C" w:rsidRDefault="002B512C">
                  <w:pPr>
                    <w:spacing w:line="160" w:lineRule="exact"/>
                    <w:jc w:val="left"/>
                    <w:rPr>
                      <w:rFonts w:cs="Miriam" w:hint="cs"/>
                      <w:szCs w:val="18"/>
                      <w:rtl/>
                    </w:rPr>
                  </w:pPr>
                  <w:r>
                    <w:rPr>
                      <w:rFonts w:cs="Miriam" w:hint="cs"/>
                      <w:szCs w:val="18"/>
                      <w:rtl/>
                    </w:rPr>
                    <w:t>תחולה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צו זה יחול על דמי השאלה, תחליך דיבידנד ותחליף ריבית המשולמים ביום כ"ז בטבת התשס"ג (1 בינואר 2003), או לאחריו.</w:t>
      </w:r>
    </w:p>
    <w:p w:rsidR="002B512C" w:rsidRDefault="002B512C">
      <w:pPr>
        <w:pStyle w:val="P00"/>
        <w:spacing w:before="72"/>
        <w:ind w:left="0" w:right="1134"/>
        <w:rPr>
          <w:rStyle w:val="default"/>
          <w:rFonts w:cs="FrankRuehl" w:hint="cs"/>
          <w:rtl/>
        </w:rPr>
      </w:pPr>
    </w:p>
    <w:p w:rsidR="002B512C" w:rsidRDefault="002B512C">
      <w:pPr>
        <w:pStyle w:val="P00"/>
        <w:spacing w:before="72"/>
        <w:ind w:left="0" w:right="1134"/>
        <w:rPr>
          <w:rStyle w:val="default"/>
          <w:rFonts w:cs="FrankRuehl" w:hint="cs"/>
          <w:rtl/>
        </w:rPr>
      </w:pPr>
    </w:p>
    <w:p w:rsidR="002B512C" w:rsidRDefault="002B512C">
      <w:pPr>
        <w:pStyle w:val="P00"/>
        <w:tabs>
          <w:tab w:val="clear" w:pos="624"/>
          <w:tab w:val="clear" w:pos="1021"/>
          <w:tab w:val="clear" w:pos="1474"/>
          <w:tab w:val="clear" w:pos="1928"/>
          <w:tab w:val="clear" w:pos="2381"/>
          <w:tab w:val="clear" w:pos="2835"/>
          <w:tab w:val="clear" w:pos="6259"/>
          <w:tab w:val="center" w:pos="5670"/>
        </w:tabs>
        <w:spacing w:before="72"/>
        <w:ind w:left="0" w:right="1134"/>
        <w:rPr>
          <w:sz w:val="26"/>
          <w:rtl/>
        </w:rPr>
      </w:pPr>
      <w:r>
        <w:rPr>
          <w:rStyle w:val="default"/>
          <w:rFonts w:cs="FrankRuehl" w:hint="cs"/>
          <w:rtl/>
        </w:rPr>
        <w:t>י"ז בטבת התשס"ג (22 בדצמבר 2002)</w:t>
      </w:r>
      <w:r>
        <w:rPr>
          <w:rStyle w:val="default"/>
          <w:rFonts w:cs="FrankRuehl" w:hint="cs"/>
          <w:rtl/>
        </w:rPr>
        <w:tab/>
      </w:r>
      <w:r>
        <w:rPr>
          <w:rFonts w:hint="cs"/>
          <w:spacing w:val="30"/>
          <w:sz w:val="26"/>
          <w:rtl/>
        </w:rPr>
        <w:t>סילבן שלום</w:t>
      </w:r>
    </w:p>
    <w:p w:rsidR="002B512C" w:rsidRDefault="002B512C">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rsidR="002B512C" w:rsidRPr="008901B9" w:rsidRDefault="002B512C">
      <w:pPr>
        <w:pStyle w:val="P00"/>
        <w:spacing w:before="72"/>
        <w:ind w:left="0" w:right="1134"/>
        <w:rPr>
          <w:rStyle w:val="default"/>
          <w:rFonts w:cs="FrankRuehl" w:hint="cs"/>
          <w:rtl/>
        </w:rPr>
      </w:pPr>
    </w:p>
    <w:p w:rsidR="008901B9" w:rsidRPr="008901B9" w:rsidRDefault="008901B9">
      <w:pPr>
        <w:pStyle w:val="P00"/>
        <w:spacing w:before="72"/>
        <w:ind w:left="0" w:right="1134"/>
        <w:rPr>
          <w:rStyle w:val="default"/>
          <w:rFonts w:cs="FrankRuehl"/>
          <w:rtl/>
        </w:rPr>
      </w:pPr>
    </w:p>
    <w:p w:rsidR="002B512C" w:rsidRPr="008901B9" w:rsidRDefault="002B512C" w:rsidP="008901B9">
      <w:pPr>
        <w:pStyle w:val="P00"/>
        <w:spacing w:before="72"/>
        <w:ind w:left="0" w:right="1134"/>
        <w:rPr>
          <w:rStyle w:val="default"/>
          <w:rFonts w:cs="FrankRuehl"/>
          <w:rtl/>
        </w:rPr>
      </w:pPr>
      <w:bookmarkStart w:id="4" w:name="LawPartEnd"/>
    </w:p>
    <w:bookmarkEnd w:id="4"/>
    <w:p w:rsidR="002B512C" w:rsidRPr="008901B9" w:rsidRDefault="002B512C" w:rsidP="008901B9">
      <w:pPr>
        <w:pStyle w:val="P00"/>
        <w:spacing w:before="72"/>
        <w:ind w:left="0" w:right="1134"/>
        <w:rPr>
          <w:rStyle w:val="default"/>
          <w:rFonts w:cs="FrankRuehl"/>
          <w:rtl/>
        </w:rPr>
      </w:pPr>
    </w:p>
    <w:sectPr w:rsidR="002B512C" w:rsidRPr="008901B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3531" w:rsidRDefault="00CB3531">
      <w:r>
        <w:separator/>
      </w:r>
    </w:p>
  </w:endnote>
  <w:endnote w:type="continuationSeparator" w:id="0">
    <w:p w:rsidR="00CB3531" w:rsidRDefault="00CB3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12C" w:rsidRDefault="002B51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B512C" w:rsidRDefault="002B51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B512C" w:rsidRDefault="002B51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C65EE">
      <w:rPr>
        <w:rFonts w:cs="TopType Jerushalmi"/>
        <w:noProof/>
        <w:color w:val="000000"/>
        <w:sz w:val="14"/>
        <w:szCs w:val="14"/>
      </w:rPr>
      <w:t>Z:\000000000000-law\yael\08-10-12\999_083.doc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12C" w:rsidRDefault="002B51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4000">
      <w:rPr>
        <w:rFonts w:hAnsi="FrankRuehl" w:cs="FrankRuehl"/>
        <w:noProof/>
        <w:sz w:val="24"/>
        <w:szCs w:val="24"/>
        <w:rtl/>
      </w:rPr>
      <w:t>1</w:t>
    </w:r>
    <w:r>
      <w:rPr>
        <w:rFonts w:hAnsi="FrankRuehl" w:cs="FrankRuehl"/>
        <w:sz w:val="24"/>
        <w:szCs w:val="24"/>
        <w:rtl/>
      </w:rPr>
      <w:fldChar w:fldCharType="end"/>
    </w:r>
  </w:p>
  <w:p w:rsidR="002B512C" w:rsidRDefault="002B51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B512C" w:rsidRDefault="002B51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C65EE">
      <w:rPr>
        <w:rFonts w:cs="TopType Jerushalmi"/>
        <w:noProof/>
        <w:color w:val="000000"/>
        <w:sz w:val="14"/>
        <w:szCs w:val="14"/>
      </w:rPr>
      <w:t>Z:\000000000000-law\yael\08-10-12\999_083.doc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3531" w:rsidRDefault="00CB3531" w:rsidP="008901B9">
      <w:pPr>
        <w:spacing w:before="60" w:line="240" w:lineRule="auto"/>
        <w:ind w:right="1134"/>
      </w:pPr>
      <w:r>
        <w:separator/>
      </w:r>
    </w:p>
  </w:footnote>
  <w:footnote w:type="continuationSeparator" w:id="0">
    <w:p w:rsidR="00CB3531" w:rsidRDefault="00CB3531">
      <w:r>
        <w:continuationSeparator/>
      </w:r>
    </w:p>
  </w:footnote>
  <w:footnote w:id="1">
    <w:p w:rsidR="008901B9" w:rsidRDefault="008901B9" w:rsidP="008901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37724A">
          <w:rPr>
            <w:rStyle w:val="Hyperlink"/>
            <w:rFonts w:hint="cs"/>
            <w:sz w:val="20"/>
            <w:rtl/>
          </w:rPr>
          <w:t>ק"ת תשס"ג מס' 6218</w:t>
        </w:r>
      </w:hyperlink>
      <w:r>
        <w:rPr>
          <w:rFonts w:hint="cs"/>
          <w:sz w:val="20"/>
          <w:rtl/>
        </w:rPr>
        <w:t xml:space="preserve"> מיום 31.12.2002 עמ' 381.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12C" w:rsidRDefault="002B51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2B512C" w:rsidRDefault="002B51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B512C" w:rsidRDefault="002B51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12C" w:rsidRDefault="002B512C">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מס הכנסה (קביעת דמי השאלה כהכנסה), תשס"ג-2002</w:t>
    </w:r>
  </w:p>
  <w:p w:rsidR="002B512C" w:rsidRDefault="002B51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B512C" w:rsidRDefault="002B512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724A"/>
    <w:rsid w:val="002B512C"/>
    <w:rsid w:val="0037724A"/>
    <w:rsid w:val="00722DFF"/>
    <w:rsid w:val="007766B9"/>
    <w:rsid w:val="007C65EE"/>
    <w:rsid w:val="0085190C"/>
    <w:rsid w:val="008901B9"/>
    <w:rsid w:val="00A40B3B"/>
    <w:rsid w:val="00AA5C2A"/>
    <w:rsid w:val="00B94000"/>
    <w:rsid w:val="00CB353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4D1C52B2-A5F1-4F58-BACB-160F2FE4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2051</CharactersWithSpaces>
  <SharedDoc>false</SharedDoc>
  <HLinks>
    <vt:vector size="30" baseType="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8257538</vt:i4>
      </vt:variant>
      <vt:variant>
        <vt:i4>0</vt:i4>
      </vt:variant>
      <vt:variant>
        <vt:i4>0</vt:i4>
      </vt:variant>
      <vt:variant>
        <vt:i4>5</vt:i4>
      </vt:variant>
      <vt:variant>
        <vt:lpwstr>http://www.nevo.co.il/Law_word/law06/TAK-6218.pdf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(קביעת דמי השאלה כהכנסה), תשס"ג-2002</vt:lpwstr>
  </property>
  <property fmtid="{D5CDD505-2E9C-101B-9397-08002B2CF9AE}" pid="4" name="LAWNUMBER">
    <vt:lpwstr>0083</vt:lpwstr>
  </property>
  <property fmtid="{D5CDD505-2E9C-101B-9397-08002B2CF9AE}" pid="5" name="TYPE">
    <vt:lpwstr>01</vt:lpwstr>
  </property>
  <property fmtid="{D5CDD505-2E9C-101B-9397-08002B2CF9AE}" pid="6" name="MEKOR_NAME1">
    <vt:lpwstr>פקודת מס הכנסה </vt:lpwstr>
  </property>
  <property fmtid="{D5CDD505-2E9C-101B-9397-08002B2CF9AE}" pid="7" name="MEKOR_SAIF1">
    <vt:lpwstr>164X</vt:lpwstr>
  </property>
  <property fmtid="{D5CDD505-2E9C-101B-9397-08002B2CF9AE}" pid="8" name="NOSE11">
    <vt:lpwstr>מסים</vt:lpwstr>
  </property>
  <property fmtid="{D5CDD505-2E9C-101B-9397-08002B2CF9AE}" pid="9" name="NOSE21">
    <vt:lpwstr>מס הכנסה</vt:lpwstr>
  </property>
  <property fmtid="{D5CDD505-2E9C-101B-9397-08002B2CF9AE}" pid="10" name="NOSE31">
    <vt:lpwstr>קביעות וכללים</vt:lpwstr>
  </property>
  <property fmtid="{D5CDD505-2E9C-101B-9397-08002B2CF9AE}" pid="11" name="NOSE41">
    <vt:lpwstr>קביעה כהכנסה</vt:lpwstr>
  </property>
  <property fmtid="{D5CDD505-2E9C-101B-9397-08002B2CF9AE}" pid="12" name="NOSE12">
    <vt:lpwstr/>
  </property>
  <property fmtid="{D5CDD505-2E9C-101B-9397-08002B2CF9AE}" pid="13" name="NOSE22">
    <vt:lpwstr/>
  </property>
  <property fmtid="{D5CDD505-2E9C-101B-9397-08002B2CF9AE}" pid="14" name="NOSE32">
    <vt:lpwstr/>
  </property>
  <property fmtid="{D5CDD505-2E9C-101B-9397-08002B2CF9AE}" pid="15" name="NOSE42">
    <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