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38B" w:rsidRDefault="000F338B" w:rsidP="00B539E9">
      <w:pPr>
        <w:pStyle w:val="big-header"/>
        <w:ind w:left="0" w:right="1134"/>
        <w:rPr>
          <w:rFonts w:cs="FrankRuehl"/>
          <w:sz w:val="32"/>
        </w:rPr>
      </w:pPr>
      <w:r>
        <w:rPr>
          <w:rFonts w:cs="FrankRuehl"/>
          <w:sz w:val="32"/>
          <w:rtl/>
        </w:rPr>
        <w:t>צו מס הכנסה (קביעת דמי שכירות כהכנסה לענין ניכוי במקור), תשנ"ח</w:t>
      </w:r>
      <w:r w:rsidR="00B539E9">
        <w:rPr>
          <w:rFonts w:cs="FrankRuehl" w:hint="cs"/>
          <w:sz w:val="32"/>
          <w:rtl/>
        </w:rPr>
        <w:t>-</w:t>
      </w:r>
      <w:r>
        <w:rPr>
          <w:rFonts w:cs="FrankRuehl"/>
          <w:sz w:val="32"/>
          <w:rtl/>
        </w:rPr>
        <w:t>1998</w:t>
      </w:r>
    </w:p>
    <w:p w:rsidR="005B7415" w:rsidRPr="005B7415" w:rsidRDefault="005B7415" w:rsidP="005B7415">
      <w:pPr>
        <w:spacing w:line="320" w:lineRule="auto"/>
        <w:rPr>
          <w:rFonts w:cs="FrankRuehl"/>
          <w:szCs w:val="26"/>
          <w:rtl/>
        </w:rPr>
      </w:pPr>
    </w:p>
    <w:p w:rsidR="005B7415" w:rsidRDefault="005B7415" w:rsidP="005B7415">
      <w:pPr>
        <w:spacing w:line="320" w:lineRule="auto"/>
        <w:rPr>
          <w:rtl/>
        </w:rPr>
      </w:pPr>
    </w:p>
    <w:p w:rsidR="005B7415" w:rsidRDefault="005B7415" w:rsidP="005B7415">
      <w:pPr>
        <w:spacing w:line="320" w:lineRule="auto"/>
        <w:rPr>
          <w:rFonts w:cs="FrankRuehl"/>
          <w:szCs w:val="26"/>
          <w:rtl/>
        </w:rPr>
      </w:pPr>
      <w:r w:rsidRPr="005B7415">
        <w:rPr>
          <w:rFonts w:cs="Miriam"/>
          <w:szCs w:val="22"/>
          <w:rtl/>
        </w:rPr>
        <w:t>מסים</w:t>
      </w:r>
      <w:r w:rsidRPr="005B7415">
        <w:rPr>
          <w:rFonts w:cs="FrankRuehl"/>
          <w:szCs w:val="26"/>
          <w:rtl/>
        </w:rPr>
        <w:t xml:space="preserve"> – מס הכנסה – קביעות וכללים – קביעה כהכנסה</w:t>
      </w:r>
    </w:p>
    <w:p w:rsidR="005B7415" w:rsidRPr="005B7415" w:rsidRDefault="005B7415" w:rsidP="005B7415">
      <w:pPr>
        <w:spacing w:line="320" w:lineRule="auto"/>
        <w:rPr>
          <w:rFonts w:cs="Miriam"/>
          <w:szCs w:val="22"/>
          <w:rtl/>
        </w:rPr>
      </w:pPr>
      <w:r w:rsidRPr="005B7415">
        <w:rPr>
          <w:rFonts w:cs="Miriam"/>
          <w:szCs w:val="22"/>
          <w:rtl/>
        </w:rPr>
        <w:t>מסים</w:t>
      </w:r>
      <w:r w:rsidRPr="005B7415">
        <w:rPr>
          <w:rFonts w:cs="FrankRuehl"/>
          <w:szCs w:val="26"/>
          <w:rtl/>
        </w:rPr>
        <w:t xml:space="preserve"> – מס הכנסה – ניכויים – ניכוי במקור</w:t>
      </w:r>
    </w:p>
    <w:p w:rsidR="000F338B" w:rsidRDefault="000F338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71280" w:rsidRPr="00771280">
        <w:tblPrEx>
          <w:tblCellMar>
            <w:top w:w="0" w:type="dxa"/>
            <w:bottom w:w="0" w:type="dxa"/>
          </w:tblCellMar>
        </w:tblPrEx>
        <w:tc>
          <w:tcPr>
            <w:tcW w:w="1247" w:type="dxa"/>
          </w:tcPr>
          <w:p w:rsidR="00771280" w:rsidRPr="00771280" w:rsidRDefault="00771280" w:rsidP="00771280">
            <w:pPr>
              <w:rPr>
                <w:rFonts w:cs="Frankruhel"/>
                <w:rtl/>
              </w:rPr>
            </w:pPr>
            <w:r>
              <w:rPr>
                <w:rtl/>
              </w:rPr>
              <w:t xml:space="preserve">סעיף 1 </w:t>
            </w:r>
          </w:p>
        </w:tc>
        <w:tc>
          <w:tcPr>
            <w:tcW w:w="5669" w:type="dxa"/>
          </w:tcPr>
          <w:p w:rsidR="00771280" w:rsidRPr="00771280" w:rsidRDefault="00771280" w:rsidP="00771280">
            <w:pPr>
              <w:rPr>
                <w:rFonts w:cs="Frankruhel"/>
                <w:rtl/>
              </w:rPr>
            </w:pPr>
            <w:r>
              <w:rPr>
                <w:rtl/>
              </w:rPr>
              <w:t>הגדרות</w:t>
            </w:r>
          </w:p>
        </w:tc>
        <w:tc>
          <w:tcPr>
            <w:tcW w:w="567" w:type="dxa"/>
          </w:tcPr>
          <w:p w:rsidR="00771280" w:rsidRPr="00771280" w:rsidRDefault="00771280" w:rsidP="00771280">
            <w:pPr>
              <w:rPr>
                <w:rStyle w:val="Hyperlink"/>
                <w:rtl/>
              </w:rPr>
            </w:pPr>
            <w:hyperlink w:anchor="Seif1" w:tooltip="הגדרות" w:history="1">
              <w:r w:rsidRPr="00771280">
                <w:rPr>
                  <w:rStyle w:val="Hyperlink"/>
                </w:rPr>
                <w:t>Go</w:t>
              </w:r>
            </w:hyperlink>
          </w:p>
        </w:tc>
        <w:tc>
          <w:tcPr>
            <w:tcW w:w="850" w:type="dxa"/>
          </w:tcPr>
          <w:p w:rsidR="00771280" w:rsidRPr="00771280" w:rsidRDefault="00771280" w:rsidP="007712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71280" w:rsidRPr="00771280">
        <w:tblPrEx>
          <w:tblCellMar>
            <w:top w:w="0" w:type="dxa"/>
            <w:bottom w:w="0" w:type="dxa"/>
          </w:tblCellMar>
        </w:tblPrEx>
        <w:tc>
          <w:tcPr>
            <w:tcW w:w="1247" w:type="dxa"/>
          </w:tcPr>
          <w:p w:rsidR="00771280" w:rsidRPr="00771280" w:rsidRDefault="00771280" w:rsidP="00771280">
            <w:pPr>
              <w:rPr>
                <w:rFonts w:cs="Frankruhel"/>
                <w:rtl/>
              </w:rPr>
            </w:pPr>
            <w:r>
              <w:rPr>
                <w:rtl/>
              </w:rPr>
              <w:t xml:space="preserve">סעיף 2 </w:t>
            </w:r>
          </w:p>
        </w:tc>
        <w:tc>
          <w:tcPr>
            <w:tcW w:w="5669" w:type="dxa"/>
          </w:tcPr>
          <w:p w:rsidR="00771280" w:rsidRPr="00771280" w:rsidRDefault="00771280" w:rsidP="00771280">
            <w:pPr>
              <w:rPr>
                <w:rFonts w:cs="Frankruhel"/>
                <w:rtl/>
              </w:rPr>
            </w:pPr>
            <w:r>
              <w:rPr>
                <w:rtl/>
              </w:rPr>
              <w:t>קביעת דמי שכירות כהכנסה</w:t>
            </w:r>
          </w:p>
        </w:tc>
        <w:tc>
          <w:tcPr>
            <w:tcW w:w="567" w:type="dxa"/>
          </w:tcPr>
          <w:p w:rsidR="00771280" w:rsidRPr="00771280" w:rsidRDefault="00771280" w:rsidP="00771280">
            <w:pPr>
              <w:rPr>
                <w:rStyle w:val="Hyperlink"/>
                <w:rtl/>
              </w:rPr>
            </w:pPr>
            <w:hyperlink w:anchor="Seif2" w:tooltip="קביעת דמי שכירות כהכנסה" w:history="1">
              <w:r w:rsidRPr="00771280">
                <w:rPr>
                  <w:rStyle w:val="Hyperlink"/>
                </w:rPr>
                <w:t>Go</w:t>
              </w:r>
            </w:hyperlink>
          </w:p>
        </w:tc>
        <w:tc>
          <w:tcPr>
            <w:tcW w:w="850" w:type="dxa"/>
          </w:tcPr>
          <w:p w:rsidR="00771280" w:rsidRPr="00771280" w:rsidRDefault="00771280" w:rsidP="007712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0F338B" w:rsidRDefault="000F338B">
      <w:pPr>
        <w:pStyle w:val="big-header"/>
        <w:ind w:left="0" w:right="1134"/>
        <w:rPr>
          <w:rFonts w:cs="FrankRuehl"/>
          <w:sz w:val="32"/>
          <w:rtl/>
        </w:rPr>
      </w:pPr>
    </w:p>
    <w:p w:rsidR="000F338B" w:rsidRDefault="000F338B" w:rsidP="005B7415">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דמי שכירות כהכנסה לענין ניכוי במקור), תשנ"ח</w:t>
      </w:r>
      <w:r w:rsidR="00B539E9">
        <w:rPr>
          <w:rFonts w:cs="FrankRuehl" w:hint="cs"/>
          <w:sz w:val="32"/>
          <w:rtl/>
        </w:rPr>
        <w:t>-</w:t>
      </w:r>
      <w:r>
        <w:rPr>
          <w:rFonts w:cs="FrankRuehl"/>
          <w:sz w:val="32"/>
          <w:rtl/>
        </w:rPr>
        <w:t>1998</w:t>
      </w:r>
      <w:r w:rsidR="00B539E9">
        <w:rPr>
          <w:rStyle w:val="a6"/>
          <w:rFonts w:cs="FrankRuehl"/>
          <w:sz w:val="32"/>
          <w:rtl/>
        </w:rPr>
        <w:footnoteReference w:customMarkFollows="1" w:id="1"/>
        <w:t>*</w:t>
      </w:r>
    </w:p>
    <w:p w:rsidR="000F338B" w:rsidRPr="00B539E9" w:rsidRDefault="000F338B" w:rsidP="00B539E9">
      <w:pPr>
        <w:pStyle w:val="P00"/>
        <w:spacing w:before="72"/>
        <w:ind w:left="0" w:right="1134"/>
        <w:rPr>
          <w:rStyle w:val="default"/>
          <w:rFonts w:cs="FrankRuehl"/>
          <w:rtl/>
        </w:rPr>
      </w:pPr>
      <w:r w:rsidRPr="00B539E9">
        <w:rPr>
          <w:rFonts w:cs="FrankRuehl"/>
          <w:sz w:val="26"/>
          <w:rtl/>
        </w:rPr>
        <w:tab/>
      </w:r>
      <w:r w:rsidRPr="00B539E9">
        <w:rPr>
          <w:rStyle w:val="default"/>
          <w:rFonts w:cs="FrankRuehl"/>
          <w:rtl/>
        </w:rPr>
        <w:t xml:space="preserve">בתוקף סמכותי לפי סעיף 164 לפקודת מס הכנסה (להלן </w:t>
      </w:r>
      <w:r w:rsidR="00B539E9">
        <w:rPr>
          <w:rStyle w:val="default"/>
          <w:rFonts w:hint="cs"/>
          <w:rtl/>
        </w:rPr>
        <w:t>-</w:t>
      </w:r>
      <w:r w:rsidRPr="00B539E9">
        <w:rPr>
          <w:rStyle w:val="default"/>
          <w:rFonts w:cs="FrankRuehl"/>
          <w:rtl/>
        </w:rPr>
        <w:t xml:space="preserve"> הפקודה), ובאישור ועדת הכספים של הכנסת, אני מצווה לאמור:</w:t>
      </w:r>
    </w:p>
    <w:p w:rsidR="000F338B" w:rsidRDefault="000F338B">
      <w:pPr>
        <w:pStyle w:val="P00"/>
        <w:spacing w:before="72"/>
        <w:ind w:left="0" w:right="1134"/>
        <w:rPr>
          <w:rStyle w:val="default"/>
          <w:rFonts w:hint="cs"/>
          <w:rtl/>
        </w:rPr>
      </w:pPr>
      <w:bookmarkStart w:id="0" w:name="Seif1"/>
      <w:bookmarkEnd w:id="0"/>
      <w:r w:rsidRPr="00B539E9">
        <w:rPr>
          <w:rFonts w:cs="Miriam"/>
          <w:lang w:val="he-IL"/>
        </w:rPr>
        <w:pict>
          <v:rect id="_x0000_s1026" style="position:absolute;left:0;text-align:left;margin-left:464.5pt;margin-top:8.05pt;width:75.05pt;height:12.25pt;z-index:251657216" o:allowincell="f" filled="f" stroked="f" strokecolor="lime" strokeweight=".25pt">
            <v:textbox inset="0,0,0,0">
              <w:txbxContent>
                <w:p w:rsidR="000F338B" w:rsidRDefault="000F338B">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B539E9">
        <w:rPr>
          <w:rStyle w:val="big-number"/>
          <w:rFonts w:cs="Miriam"/>
          <w:rtl/>
        </w:rPr>
        <w:t>1</w:t>
      </w:r>
      <w:r w:rsidRPr="00B539E9">
        <w:rPr>
          <w:rStyle w:val="big-number"/>
          <w:rFonts w:cs="FrankRuehl"/>
          <w:rtl/>
        </w:rPr>
        <w:t>.</w:t>
      </w:r>
      <w:r w:rsidRPr="00B539E9">
        <w:rPr>
          <w:rStyle w:val="big-number"/>
          <w:rFonts w:cs="FrankRuehl"/>
          <w:rtl/>
        </w:rPr>
        <w:tab/>
      </w:r>
      <w:r w:rsidRPr="00B539E9">
        <w:rPr>
          <w:rStyle w:val="default"/>
          <w:rFonts w:cs="FrankRuehl"/>
          <w:rtl/>
        </w:rPr>
        <w:t xml:space="preserve">בצו זה </w:t>
      </w:r>
      <w:r w:rsidR="00B539E9">
        <w:rPr>
          <w:rStyle w:val="default"/>
          <w:rtl/>
        </w:rPr>
        <w:t>–</w:t>
      </w:r>
    </w:p>
    <w:p w:rsidR="000F338B" w:rsidRPr="00B539E9" w:rsidRDefault="000F338B" w:rsidP="00B539E9">
      <w:pPr>
        <w:pStyle w:val="P00"/>
        <w:spacing w:before="72"/>
        <w:ind w:left="0" w:right="1134"/>
        <w:rPr>
          <w:rStyle w:val="default"/>
          <w:rFonts w:cs="FrankRuehl"/>
          <w:rtl/>
        </w:rPr>
      </w:pPr>
      <w:r w:rsidRPr="00B539E9">
        <w:rPr>
          <w:rFonts w:cs="FrankRuehl"/>
          <w:sz w:val="26"/>
          <w:rtl/>
        </w:rPr>
        <w:tab/>
      </w:r>
      <w:r w:rsidRPr="00B539E9">
        <w:rPr>
          <w:rStyle w:val="default"/>
          <w:rFonts w:cs="FrankRuehl"/>
          <w:rtl/>
        </w:rPr>
        <w:t xml:space="preserve">"דמי שכירות" </w:t>
      </w:r>
      <w:r w:rsidR="00B539E9">
        <w:rPr>
          <w:rStyle w:val="default"/>
          <w:rFonts w:hint="cs"/>
          <w:rtl/>
        </w:rPr>
        <w:t>-</w:t>
      </w:r>
      <w:r w:rsidRPr="00B539E9">
        <w:rPr>
          <w:rStyle w:val="default"/>
          <w:rFonts w:cs="FrankRuehl"/>
          <w:rtl/>
        </w:rPr>
        <w:t xml:space="preserve"> תשלום בעד שכירות של מקרקעין, כהגדרתם בחוק המקרקעין, תשכ"ט</w:t>
      </w:r>
      <w:r w:rsidR="00B539E9">
        <w:rPr>
          <w:rStyle w:val="default"/>
          <w:rFonts w:cs="FrankRuehl" w:hint="cs"/>
          <w:rtl/>
        </w:rPr>
        <w:t>-</w:t>
      </w:r>
      <w:r w:rsidRPr="00B539E9">
        <w:rPr>
          <w:rStyle w:val="default"/>
          <w:rFonts w:cs="FrankRuehl"/>
          <w:rtl/>
        </w:rPr>
        <w:t xml:space="preserve">1969 (להלן </w:t>
      </w:r>
      <w:r w:rsidR="00B539E9">
        <w:rPr>
          <w:rStyle w:val="default"/>
          <w:rFonts w:hint="cs"/>
          <w:rtl/>
        </w:rPr>
        <w:t>-</w:t>
      </w:r>
      <w:r w:rsidRPr="00B539E9">
        <w:rPr>
          <w:rStyle w:val="default"/>
          <w:rFonts w:cs="FrankRuehl"/>
          <w:rtl/>
        </w:rPr>
        <w:t xml:space="preserve"> מקרקעין), שניתן לתבוע אותו כהוצאה בייצור הכנסה, לרבות סכומים המהווים החזר הוצאות של המשכיר בשל ההשכרה, והכל בין בכסף ובין בשווה כסף, בין במישרין ובין בעקיפין, בין בתשלום חד פעמי ובין בשיעורים, למעט תשלומים שעליהם חלה חובת ניכוי מס במקור לפי תקנות מס הכנסה ומס מעסיקים (ניכוי ממשכורת ומשכר עבודה ותשלום מס מעסיקים), תשנ"ג</w:t>
      </w:r>
      <w:r w:rsidR="00B539E9">
        <w:rPr>
          <w:rStyle w:val="default"/>
          <w:rFonts w:cs="FrankRuehl" w:hint="cs"/>
          <w:rtl/>
        </w:rPr>
        <w:t>-</w:t>
      </w:r>
      <w:r w:rsidRPr="00B539E9">
        <w:rPr>
          <w:rStyle w:val="default"/>
          <w:rFonts w:cs="FrankRuehl"/>
          <w:rtl/>
        </w:rPr>
        <w:t xml:space="preserve">1993; </w:t>
      </w:r>
    </w:p>
    <w:p w:rsidR="000F338B" w:rsidRPr="00B539E9" w:rsidRDefault="000F338B" w:rsidP="00B539E9">
      <w:pPr>
        <w:pStyle w:val="P00"/>
        <w:spacing w:before="72"/>
        <w:ind w:left="0" w:right="1134"/>
        <w:rPr>
          <w:rStyle w:val="default"/>
          <w:rFonts w:cs="FrankRuehl"/>
          <w:rtl/>
        </w:rPr>
      </w:pPr>
      <w:r w:rsidRPr="00B539E9">
        <w:rPr>
          <w:rFonts w:cs="FrankRuehl"/>
          <w:sz w:val="26"/>
          <w:rtl/>
        </w:rPr>
        <w:tab/>
      </w:r>
      <w:r w:rsidRPr="00B539E9">
        <w:rPr>
          <w:rStyle w:val="default"/>
          <w:rFonts w:cs="FrankRuehl"/>
          <w:rtl/>
        </w:rPr>
        <w:t xml:space="preserve">"שכירות של מקרקעין" </w:t>
      </w:r>
      <w:r w:rsidR="00B539E9">
        <w:rPr>
          <w:rStyle w:val="default"/>
          <w:rFonts w:hint="cs"/>
          <w:rtl/>
        </w:rPr>
        <w:t>-</w:t>
      </w:r>
      <w:r w:rsidRPr="00B539E9">
        <w:rPr>
          <w:rStyle w:val="default"/>
          <w:rFonts w:cs="FrankRuehl"/>
          <w:rtl/>
        </w:rPr>
        <w:t xml:space="preserve"> לרבות זיקת הנאה במקרקעין.</w:t>
      </w:r>
    </w:p>
    <w:p w:rsidR="000F338B" w:rsidRPr="00B539E9" w:rsidRDefault="000F338B">
      <w:pPr>
        <w:pStyle w:val="P00"/>
        <w:spacing w:before="72"/>
        <w:ind w:left="0" w:right="1134"/>
        <w:rPr>
          <w:rStyle w:val="default"/>
          <w:rFonts w:cs="FrankRuehl"/>
          <w:rtl/>
        </w:rPr>
      </w:pPr>
      <w:bookmarkStart w:id="1" w:name="Seif2"/>
      <w:bookmarkEnd w:id="1"/>
      <w:r w:rsidRPr="00B539E9">
        <w:rPr>
          <w:rFonts w:cs="Miriam"/>
          <w:lang w:val="he-IL"/>
        </w:rPr>
        <w:pict>
          <v:rect id="_x0000_s1027" style="position:absolute;left:0;text-align:left;margin-left:464.5pt;margin-top:8.05pt;width:75.05pt;height:23.6pt;z-index:251658240" o:allowincell="f" filled="f" stroked="f" strokecolor="lime" strokeweight=".25pt">
            <v:textbox inset="0,0,0,0">
              <w:txbxContent>
                <w:p w:rsidR="000F338B" w:rsidRDefault="000F338B">
                  <w:pPr>
                    <w:spacing w:line="160" w:lineRule="exact"/>
                    <w:rPr>
                      <w:rFonts w:cs="Miriam"/>
                      <w:noProof/>
                      <w:sz w:val="18"/>
                      <w:szCs w:val="18"/>
                      <w:rtl/>
                    </w:rPr>
                  </w:pPr>
                  <w:r>
                    <w:rPr>
                      <w:rFonts w:cs="Miriam"/>
                      <w:sz w:val="18"/>
                      <w:szCs w:val="18"/>
                      <w:rtl/>
                    </w:rPr>
                    <w:t>קב</w:t>
                  </w:r>
                  <w:r>
                    <w:rPr>
                      <w:rFonts w:cs="Miriam" w:hint="cs"/>
                      <w:sz w:val="18"/>
                      <w:szCs w:val="18"/>
                      <w:rtl/>
                    </w:rPr>
                    <w:t>יעת דמי שכירות כה</w:t>
                  </w:r>
                  <w:r>
                    <w:rPr>
                      <w:rFonts w:cs="Miriam"/>
                      <w:sz w:val="18"/>
                      <w:szCs w:val="18"/>
                      <w:rtl/>
                    </w:rPr>
                    <w:t>כ</w:t>
                  </w:r>
                  <w:r>
                    <w:rPr>
                      <w:rFonts w:cs="Miriam" w:hint="cs"/>
                      <w:sz w:val="18"/>
                      <w:szCs w:val="18"/>
                      <w:rtl/>
                    </w:rPr>
                    <w:t>נסה</w:t>
                  </w:r>
                </w:p>
              </w:txbxContent>
            </v:textbox>
            <w10:anchorlock/>
          </v:rect>
        </w:pict>
      </w:r>
      <w:r w:rsidRPr="00B539E9">
        <w:rPr>
          <w:rStyle w:val="big-number"/>
          <w:rFonts w:cs="Miriam"/>
          <w:rtl/>
        </w:rPr>
        <w:t>2</w:t>
      </w:r>
      <w:r w:rsidRPr="00B539E9">
        <w:rPr>
          <w:rStyle w:val="big-number"/>
          <w:rFonts w:cs="FrankRuehl"/>
          <w:rtl/>
        </w:rPr>
        <w:t>.</w:t>
      </w:r>
      <w:r w:rsidRPr="00B539E9">
        <w:rPr>
          <w:rStyle w:val="big-number"/>
          <w:rFonts w:cs="FrankRuehl"/>
          <w:rtl/>
        </w:rPr>
        <w:tab/>
      </w:r>
      <w:r w:rsidRPr="00B539E9">
        <w:rPr>
          <w:rStyle w:val="default"/>
          <w:rFonts w:cs="FrankRuehl"/>
          <w:rtl/>
        </w:rPr>
        <w:t>דמי שכירות יהיו הכנסה לענין סעיף 164 לפקודה.</w:t>
      </w:r>
    </w:p>
    <w:p w:rsidR="000F338B" w:rsidRPr="00B539E9" w:rsidRDefault="000F338B">
      <w:pPr>
        <w:pStyle w:val="P00"/>
        <w:spacing w:before="72"/>
        <w:ind w:left="0" w:right="1134"/>
        <w:rPr>
          <w:rStyle w:val="default"/>
          <w:rFonts w:cs="FrankRuehl" w:hint="cs"/>
          <w:rtl/>
        </w:rPr>
      </w:pPr>
    </w:p>
    <w:p w:rsidR="00B539E9" w:rsidRPr="00B539E9" w:rsidRDefault="00B539E9">
      <w:pPr>
        <w:pStyle w:val="P00"/>
        <w:spacing w:before="72"/>
        <w:ind w:left="0" w:right="1134"/>
        <w:rPr>
          <w:rStyle w:val="default"/>
          <w:rFonts w:cs="FrankRuehl" w:hint="cs"/>
          <w:rtl/>
        </w:rPr>
      </w:pPr>
    </w:p>
    <w:p w:rsidR="000F338B" w:rsidRDefault="000F338B">
      <w:pPr>
        <w:pStyle w:val="sig-0"/>
        <w:ind w:left="0" w:right="1134"/>
        <w:rPr>
          <w:rFonts w:cs="FrankRuehl"/>
          <w:sz w:val="26"/>
          <w:rtl/>
        </w:rPr>
      </w:pPr>
      <w:r>
        <w:rPr>
          <w:rFonts w:cs="FrankRuehl"/>
          <w:sz w:val="26"/>
          <w:rtl/>
        </w:rPr>
        <w:t>כ"</w:t>
      </w:r>
      <w:r>
        <w:rPr>
          <w:rFonts w:cs="FrankRuehl" w:hint="cs"/>
          <w:sz w:val="26"/>
          <w:rtl/>
        </w:rPr>
        <w:t>ג בטבת תשנ"ח (21 בינואר 1998)</w:t>
      </w:r>
      <w:r>
        <w:rPr>
          <w:rFonts w:cs="FrankRuehl"/>
          <w:sz w:val="26"/>
          <w:rtl/>
        </w:rPr>
        <w:tab/>
        <w:t>י</w:t>
      </w:r>
      <w:r>
        <w:rPr>
          <w:rFonts w:cs="FrankRuehl" w:hint="cs"/>
          <w:sz w:val="26"/>
          <w:rtl/>
        </w:rPr>
        <w:t>עקב נאמן</w:t>
      </w:r>
    </w:p>
    <w:p w:rsidR="000F338B" w:rsidRDefault="000F338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B539E9" w:rsidRPr="00B539E9" w:rsidRDefault="00B539E9" w:rsidP="00B539E9">
      <w:pPr>
        <w:pStyle w:val="P00"/>
        <w:spacing w:before="72"/>
        <w:ind w:left="0" w:right="1134"/>
        <w:rPr>
          <w:rStyle w:val="default"/>
          <w:rFonts w:cs="FrankRuehl" w:hint="cs"/>
          <w:rtl/>
        </w:rPr>
      </w:pPr>
    </w:p>
    <w:p w:rsidR="00B539E9" w:rsidRPr="00B539E9" w:rsidRDefault="00B539E9" w:rsidP="00B539E9">
      <w:pPr>
        <w:pStyle w:val="P00"/>
        <w:spacing w:before="72"/>
        <w:ind w:left="0" w:right="1134"/>
        <w:rPr>
          <w:rStyle w:val="default"/>
          <w:rFonts w:cs="FrankRuehl"/>
          <w:rtl/>
        </w:rPr>
      </w:pPr>
    </w:p>
    <w:p w:rsidR="000F338B" w:rsidRPr="00B539E9" w:rsidRDefault="000F338B" w:rsidP="00B539E9">
      <w:pPr>
        <w:pStyle w:val="P00"/>
        <w:spacing w:before="72"/>
        <w:ind w:left="0" w:right="1134"/>
        <w:rPr>
          <w:rStyle w:val="default"/>
          <w:rFonts w:cs="FrankRuehl"/>
          <w:rtl/>
        </w:rPr>
      </w:pPr>
      <w:bookmarkStart w:id="2" w:name="LawPartEnd"/>
    </w:p>
    <w:bookmarkEnd w:id="2"/>
    <w:p w:rsidR="000F338B" w:rsidRPr="00B539E9" w:rsidRDefault="000F338B" w:rsidP="00B539E9">
      <w:pPr>
        <w:pStyle w:val="P00"/>
        <w:spacing w:before="72"/>
        <w:ind w:left="0" w:right="1134"/>
        <w:rPr>
          <w:rStyle w:val="default"/>
          <w:rFonts w:cs="FrankRuehl"/>
          <w:rtl/>
        </w:rPr>
      </w:pPr>
    </w:p>
    <w:sectPr w:rsidR="000F338B" w:rsidRPr="00B539E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C54" w:rsidRDefault="00FB5C54">
      <w:r>
        <w:separator/>
      </w:r>
    </w:p>
  </w:endnote>
  <w:endnote w:type="continuationSeparator" w:id="0">
    <w:p w:rsidR="00FB5C54" w:rsidRDefault="00FB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38B" w:rsidRDefault="000F338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0F338B" w:rsidRDefault="000F338B">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F338B" w:rsidRDefault="000F338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1280">
      <w:rPr>
        <w:rFonts w:cs="TopType Jerushalmi"/>
        <w:noProof/>
        <w:color w:val="000000"/>
        <w:sz w:val="14"/>
        <w:szCs w:val="14"/>
      </w:rPr>
      <w:t>Z:\000000000000-law\yael\08-10-12\255_386.doc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38B" w:rsidRDefault="000F338B">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5B7415">
      <w:rPr>
        <w:rFonts w:hAnsi="FrankRuehl" w:cs="FrankRuehl"/>
        <w:noProof/>
        <w:rtl/>
      </w:rPr>
      <w:t>1</w:t>
    </w:r>
    <w:r>
      <w:rPr>
        <w:rFonts w:hAnsi="FrankRuehl" w:cs="FrankRuehl"/>
        <w:rtl/>
      </w:rPr>
      <w:fldChar w:fldCharType="end"/>
    </w:r>
  </w:p>
  <w:p w:rsidR="000F338B" w:rsidRDefault="000F338B">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F338B" w:rsidRDefault="000F338B">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1280">
      <w:rPr>
        <w:rFonts w:cs="TopType Jerushalmi"/>
        <w:noProof/>
        <w:color w:val="000000"/>
        <w:sz w:val="14"/>
        <w:szCs w:val="14"/>
      </w:rPr>
      <w:t>Z:\000000000000-law\yael\08-10-12\255_386.doc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C54" w:rsidRDefault="00FB5C54" w:rsidP="00B539E9">
      <w:pPr>
        <w:spacing w:before="60"/>
        <w:ind w:right="1134"/>
      </w:pPr>
      <w:r>
        <w:separator/>
      </w:r>
    </w:p>
  </w:footnote>
  <w:footnote w:type="continuationSeparator" w:id="0">
    <w:p w:rsidR="00FB5C54" w:rsidRDefault="00FB5C54">
      <w:r>
        <w:continuationSeparator/>
      </w:r>
    </w:p>
  </w:footnote>
  <w:footnote w:id="1">
    <w:p w:rsidR="00B539E9" w:rsidRPr="00B539E9" w:rsidRDefault="00B539E9" w:rsidP="00B539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539E9">
        <w:rPr>
          <w:rFonts w:cs="FrankRuehl"/>
          <w:rtl/>
        </w:rPr>
        <w:t xml:space="preserve">* </w:t>
      </w:r>
      <w:r>
        <w:rPr>
          <w:rFonts w:cs="FrankRuehl"/>
          <w:rtl/>
        </w:rPr>
        <w:t>פו</w:t>
      </w:r>
      <w:r>
        <w:rPr>
          <w:rFonts w:cs="FrankRuehl" w:hint="cs"/>
          <w:rtl/>
        </w:rPr>
        <w:t xml:space="preserve">רסם </w:t>
      </w:r>
      <w:hyperlink r:id="rId1" w:history="1">
        <w:r w:rsidRPr="00A2325B">
          <w:rPr>
            <w:rStyle w:val="Hyperlink"/>
            <w:rFonts w:cs="FrankRuehl" w:hint="cs"/>
            <w:rtl/>
          </w:rPr>
          <w:t>ק"ת תשנ"ח מס' 5879</w:t>
        </w:r>
      </w:hyperlink>
      <w:r>
        <w:rPr>
          <w:rFonts w:cs="FrankRuehl" w:hint="cs"/>
          <w:rtl/>
        </w:rPr>
        <w:t xml:space="preserve"> מיום 9.2.1998 עמ' 380.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38B" w:rsidRDefault="000F33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דמי שכירות כהכנסה לענין ניכוי במקור), תשנ"ח–1998</w:t>
    </w:r>
  </w:p>
  <w:p w:rsidR="000F338B" w:rsidRDefault="000F33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338B" w:rsidRDefault="000F33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38B" w:rsidRDefault="000F338B" w:rsidP="00B539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דמי שכירות כהכנסה לענין ניכוי במקור), תשנ"ח</w:t>
    </w:r>
    <w:r w:rsidR="00B539E9">
      <w:rPr>
        <w:rFonts w:hAnsi="FrankRuehl" w:cs="FrankRuehl" w:hint="cs"/>
        <w:color w:val="000000"/>
        <w:sz w:val="28"/>
        <w:szCs w:val="28"/>
        <w:rtl/>
      </w:rPr>
      <w:t>-</w:t>
    </w:r>
    <w:r>
      <w:rPr>
        <w:rFonts w:hAnsi="FrankRuehl" w:cs="FrankRuehl"/>
        <w:color w:val="000000"/>
        <w:sz w:val="28"/>
        <w:szCs w:val="28"/>
        <w:rtl/>
      </w:rPr>
      <w:t>1998</w:t>
    </w:r>
  </w:p>
  <w:p w:rsidR="000F338B" w:rsidRDefault="000F33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338B" w:rsidRDefault="000F33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25B"/>
    <w:rsid w:val="000F338B"/>
    <w:rsid w:val="005B7415"/>
    <w:rsid w:val="00736BC8"/>
    <w:rsid w:val="00771280"/>
    <w:rsid w:val="00924C76"/>
    <w:rsid w:val="00A2325B"/>
    <w:rsid w:val="00B539E9"/>
    <w:rsid w:val="00CC1B5E"/>
    <w:rsid w:val="00F17864"/>
    <w:rsid w:val="00F83D9F"/>
    <w:rsid w:val="00FB5C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7F262D8-8203-4BF8-B01E-1635C5FC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B539E9"/>
    <w:rPr>
      <w:sz w:val="20"/>
      <w:szCs w:val="20"/>
    </w:rPr>
  </w:style>
  <w:style w:type="character" w:styleId="a6">
    <w:name w:val="footnote reference"/>
    <w:basedOn w:val="a0"/>
    <w:semiHidden/>
    <w:rsid w:val="00B539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1121</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0</vt:i4>
      </vt:variant>
      <vt:variant>
        <vt:i4>0</vt:i4>
      </vt:variant>
      <vt:variant>
        <vt:i4>5</vt:i4>
      </vt:variant>
      <vt:variant>
        <vt:lpwstr>http://www.nevo.co.il/Law_word/law06/TAK-5879.pdf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דמי שכירות כהכנסה לענין ניכוי במקור), תשנ"ח-1998</vt:lpwstr>
  </property>
  <property fmtid="{D5CDD505-2E9C-101B-9397-08002B2CF9AE}" pid="5" name="LAWNUMBER">
    <vt:lpwstr>0386</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ניכויים</vt:lpwstr>
  </property>
  <property fmtid="{D5CDD505-2E9C-101B-9397-08002B2CF9AE}" pid="16" name="NOSE42">
    <vt:lpwstr>ניכוי במקור</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