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2FC9" w:rsidRDefault="00E72FC9" w:rsidP="00B908AA">
      <w:pPr>
        <w:pStyle w:val="big-header"/>
        <w:ind w:left="0" w:right="1134"/>
      </w:pPr>
      <w:r>
        <w:rPr>
          <w:rFonts w:hint="cs"/>
          <w:rtl/>
        </w:rPr>
        <w:t>צו מס הכנסה (קביעת תמורה, תשלום או רווח הון ממכירת נייר ערך או מעסקה עתידית כהכנסה), תשס"ג-2002</w:t>
      </w:r>
    </w:p>
    <w:p w:rsidR="0066263D" w:rsidRPr="0066263D" w:rsidRDefault="0066263D" w:rsidP="0066263D">
      <w:pPr>
        <w:spacing w:line="320" w:lineRule="auto"/>
        <w:jc w:val="left"/>
        <w:rPr>
          <w:rFonts w:cs="FrankRuehl"/>
          <w:szCs w:val="26"/>
          <w:rtl/>
        </w:rPr>
      </w:pPr>
    </w:p>
    <w:p w:rsidR="001E7594" w:rsidRDefault="001E7594" w:rsidP="001E7594">
      <w:pPr>
        <w:spacing w:line="320" w:lineRule="auto"/>
        <w:jc w:val="left"/>
        <w:rPr>
          <w:rtl/>
        </w:rPr>
      </w:pPr>
    </w:p>
    <w:p w:rsidR="001E7594" w:rsidRDefault="001E7594" w:rsidP="001E7594">
      <w:pPr>
        <w:spacing w:line="320" w:lineRule="auto"/>
        <w:jc w:val="left"/>
        <w:rPr>
          <w:rFonts w:cs="FrankRuehl"/>
          <w:szCs w:val="26"/>
          <w:rtl/>
        </w:rPr>
      </w:pPr>
      <w:r w:rsidRPr="001E7594">
        <w:rPr>
          <w:rFonts w:cs="Miriam"/>
          <w:szCs w:val="22"/>
          <w:rtl/>
        </w:rPr>
        <w:t>מסים</w:t>
      </w:r>
      <w:r w:rsidRPr="001E7594">
        <w:rPr>
          <w:rFonts w:cs="FrankRuehl"/>
          <w:szCs w:val="26"/>
          <w:rtl/>
        </w:rPr>
        <w:t xml:space="preserve"> – מס הכנסה – קביעות וכללים – קביעה כהכנסה</w:t>
      </w:r>
    </w:p>
    <w:p w:rsidR="001E7594" w:rsidRDefault="001E7594" w:rsidP="001E7594">
      <w:pPr>
        <w:spacing w:line="320" w:lineRule="auto"/>
        <w:jc w:val="left"/>
        <w:rPr>
          <w:rFonts w:cs="FrankRuehl"/>
          <w:szCs w:val="26"/>
          <w:rtl/>
        </w:rPr>
      </w:pPr>
      <w:r w:rsidRPr="001E7594">
        <w:rPr>
          <w:rFonts w:cs="Miriam"/>
          <w:szCs w:val="22"/>
          <w:rtl/>
        </w:rPr>
        <w:t>מסים</w:t>
      </w:r>
      <w:r w:rsidRPr="001E7594">
        <w:rPr>
          <w:rFonts w:cs="FrankRuehl"/>
          <w:szCs w:val="26"/>
          <w:rtl/>
        </w:rPr>
        <w:t xml:space="preserve"> – מס הכנסה – מיסוי הון – עסקה עתידית</w:t>
      </w:r>
    </w:p>
    <w:p w:rsidR="0066263D" w:rsidRPr="001E7594" w:rsidRDefault="001E7594" w:rsidP="001E7594">
      <w:pPr>
        <w:spacing w:line="320" w:lineRule="auto"/>
        <w:jc w:val="left"/>
        <w:rPr>
          <w:rFonts w:cs="Miriam"/>
          <w:szCs w:val="22"/>
          <w:rtl/>
        </w:rPr>
      </w:pPr>
      <w:r w:rsidRPr="001E7594">
        <w:rPr>
          <w:rFonts w:cs="Miriam"/>
          <w:szCs w:val="22"/>
          <w:rtl/>
        </w:rPr>
        <w:t>מסים</w:t>
      </w:r>
      <w:r w:rsidRPr="001E7594">
        <w:rPr>
          <w:rFonts w:cs="FrankRuehl"/>
          <w:szCs w:val="26"/>
          <w:rtl/>
        </w:rPr>
        <w:t xml:space="preserve"> – מס הכנסה – ניירות ערך</w:t>
      </w:r>
    </w:p>
    <w:p w:rsidR="00B908AA" w:rsidRDefault="00B908AA" w:rsidP="00B908AA">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61490" w:rsidRPr="00361490">
        <w:tblPrEx>
          <w:tblCellMar>
            <w:top w:w="0" w:type="dxa"/>
            <w:bottom w:w="0" w:type="dxa"/>
          </w:tblCellMar>
        </w:tblPrEx>
        <w:tc>
          <w:tcPr>
            <w:tcW w:w="1247" w:type="dxa"/>
          </w:tcPr>
          <w:p w:rsidR="00361490" w:rsidRPr="00361490" w:rsidRDefault="00361490" w:rsidP="00361490">
            <w:pPr>
              <w:spacing w:line="240" w:lineRule="auto"/>
              <w:jc w:val="left"/>
              <w:rPr>
                <w:rFonts w:cs="Frankruhel" w:hint="cs"/>
                <w:sz w:val="24"/>
                <w:rtl/>
              </w:rPr>
            </w:pPr>
            <w:r>
              <w:rPr>
                <w:rFonts w:cs="Times New Roman"/>
                <w:sz w:val="24"/>
                <w:rtl/>
              </w:rPr>
              <w:t xml:space="preserve">סעיף 1 </w:t>
            </w:r>
          </w:p>
        </w:tc>
        <w:tc>
          <w:tcPr>
            <w:tcW w:w="5669" w:type="dxa"/>
          </w:tcPr>
          <w:p w:rsidR="00361490" w:rsidRPr="00361490" w:rsidRDefault="00361490" w:rsidP="00361490">
            <w:pPr>
              <w:spacing w:line="240" w:lineRule="auto"/>
              <w:jc w:val="left"/>
              <w:rPr>
                <w:rFonts w:cs="Frankruhel" w:hint="cs"/>
                <w:sz w:val="24"/>
                <w:rtl/>
              </w:rPr>
            </w:pPr>
            <w:r>
              <w:rPr>
                <w:rFonts w:cs="Times New Roman"/>
                <w:sz w:val="24"/>
                <w:rtl/>
              </w:rPr>
              <w:t>הגדרות</w:t>
            </w:r>
          </w:p>
        </w:tc>
        <w:tc>
          <w:tcPr>
            <w:tcW w:w="567" w:type="dxa"/>
          </w:tcPr>
          <w:p w:rsidR="00361490" w:rsidRPr="00361490" w:rsidRDefault="00361490" w:rsidP="00361490">
            <w:pPr>
              <w:spacing w:line="240" w:lineRule="auto"/>
              <w:jc w:val="left"/>
              <w:rPr>
                <w:rStyle w:val="Hyperlink"/>
                <w:rFonts w:hint="cs"/>
                <w:rtl/>
              </w:rPr>
            </w:pPr>
            <w:hyperlink w:anchor="Seif1" w:tooltip="הגדרות" w:history="1">
              <w:r w:rsidRPr="00361490">
                <w:rPr>
                  <w:rStyle w:val="Hyperlink"/>
                </w:rPr>
                <w:t>Go</w:t>
              </w:r>
            </w:hyperlink>
          </w:p>
        </w:tc>
        <w:tc>
          <w:tcPr>
            <w:tcW w:w="850" w:type="dxa"/>
          </w:tcPr>
          <w:p w:rsidR="00361490" w:rsidRPr="00361490" w:rsidRDefault="00361490" w:rsidP="0036149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61490" w:rsidRPr="00361490">
        <w:tblPrEx>
          <w:tblCellMar>
            <w:top w:w="0" w:type="dxa"/>
            <w:bottom w:w="0" w:type="dxa"/>
          </w:tblCellMar>
        </w:tblPrEx>
        <w:tc>
          <w:tcPr>
            <w:tcW w:w="1247" w:type="dxa"/>
          </w:tcPr>
          <w:p w:rsidR="00361490" w:rsidRPr="00361490" w:rsidRDefault="00361490" w:rsidP="00361490">
            <w:pPr>
              <w:spacing w:line="240" w:lineRule="auto"/>
              <w:jc w:val="left"/>
              <w:rPr>
                <w:rFonts w:cs="Frankruhel" w:hint="cs"/>
                <w:sz w:val="24"/>
                <w:rtl/>
              </w:rPr>
            </w:pPr>
            <w:r>
              <w:rPr>
                <w:rFonts w:cs="Times New Roman"/>
                <w:sz w:val="24"/>
                <w:rtl/>
              </w:rPr>
              <w:t xml:space="preserve">סעיף 2 </w:t>
            </w:r>
          </w:p>
        </w:tc>
        <w:tc>
          <w:tcPr>
            <w:tcW w:w="5669" w:type="dxa"/>
          </w:tcPr>
          <w:p w:rsidR="00361490" w:rsidRPr="00361490" w:rsidRDefault="00361490" w:rsidP="00361490">
            <w:pPr>
              <w:spacing w:line="240" w:lineRule="auto"/>
              <w:jc w:val="left"/>
              <w:rPr>
                <w:rFonts w:cs="Frankruhel" w:hint="cs"/>
                <w:sz w:val="24"/>
                <w:rtl/>
              </w:rPr>
            </w:pPr>
            <w:r>
              <w:rPr>
                <w:rFonts w:cs="Times New Roman"/>
                <w:sz w:val="24"/>
                <w:rtl/>
              </w:rPr>
              <w:t>קביעת תמורה או רווח הון כהכנסה</w:t>
            </w:r>
          </w:p>
        </w:tc>
        <w:tc>
          <w:tcPr>
            <w:tcW w:w="567" w:type="dxa"/>
          </w:tcPr>
          <w:p w:rsidR="00361490" w:rsidRPr="00361490" w:rsidRDefault="00361490" w:rsidP="00361490">
            <w:pPr>
              <w:spacing w:line="240" w:lineRule="auto"/>
              <w:jc w:val="left"/>
              <w:rPr>
                <w:rStyle w:val="Hyperlink"/>
                <w:rFonts w:hint="cs"/>
                <w:rtl/>
              </w:rPr>
            </w:pPr>
            <w:hyperlink w:anchor="Seif2" w:tooltip="קביעת תמורה או רווח הון כהכנסה" w:history="1">
              <w:r w:rsidRPr="00361490">
                <w:rPr>
                  <w:rStyle w:val="Hyperlink"/>
                </w:rPr>
                <w:t>Go</w:t>
              </w:r>
            </w:hyperlink>
          </w:p>
        </w:tc>
        <w:tc>
          <w:tcPr>
            <w:tcW w:w="850" w:type="dxa"/>
          </w:tcPr>
          <w:p w:rsidR="00361490" w:rsidRPr="00361490" w:rsidRDefault="00361490" w:rsidP="0036149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rsidR="00B908AA" w:rsidRDefault="00B908AA" w:rsidP="00B908AA">
      <w:pPr>
        <w:pStyle w:val="big-header"/>
        <w:ind w:left="0" w:right="1134"/>
        <w:rPr>
          <w:rFonts w:hint="cs"/>
          <w:rtl/>
        </w:rPr>
      </w:pPr>
    </w:p>
    <w:p w:rsidR="00B908AA" w:rsidRDefault="00B908AA" w:rsidP="0066263D">
      <w:pPr>
        <w:pStyle w:val="big-header"/>
        <w:ind w:left="0" w:right="1134"/>
        <w:rPr>
          <w:rStyle w:val="default"/>
          <w:rFonts w:cs="FrankRuehl" w:hint="cs"/>
          <w:rtl/>
        </w:rPr>
      </w:pPr>
      <w:r>
        <w:rPr>
          <w:rtl/>
        </w:rPr>
        <w:br w:type="page"/>
      </w:r>
      <w:r>
        <w:rPr>
          <w:rFonts w:hint="cs"/>
          <w:rtl/>
        </w:rPr>
        <w:lastRenderedPageBreak/>
        <w:t>צו מס הכנסה (קביעת תמורה, תשלום או רווח הון ממכירת נייר ערך או מעסקה עתידית כהכנסה), תשס"ג-2002</w:t>
      </w:r>
      <w:r>
        <w:rPr>
          <w:rStyle w:val="default"/>
          <w:sz w:val="22"/>
          <w:szCs w:val="22"/>
          <w:rtl/>
        </w:rPr>
        <w:footnoteReference w:customMarkFollows="1" w:id="1"/>
        <w:t>*</w:t>
      </w:r>
    </w:p>
    <w:p w:rsidR="00E72FC9" w:rsidRDefault="00E72FC9">
      <w:pPr>
        <w:pStyle w:val="P00"/>
        <w:spacing w:before="72"/>
        <w:ind w:left="0" w:right="1134"/>
        <w:rPr>
          <w:rStyle w:val="default"/>
          <w:rFonts w:cs="FrankRuehl" w:hint="cs"/>
          <w:rtl/>
        </w:rPr>
      </w:pPr>
      <w:r>
        <w:rPr>
          <w:rtl/>
        </w:rPr>
        <w:tab/>
      </w:r>
      <w:r>
        <w:rPr>
          <w:rStyle w:val="default"/>
          <w:rFonts w:cs="FrankRuehl" w:hint="cs"/>
          <w:rtl/>
        </w:rPr>
        <w:t xml:space="preserve">בתוקף סמכותי לפי סעיף 164 לפקודת מס הכנסה (להלן </w:t>
      </w:r>
      <w:r>
        <w:rPr>
          <w:rStyle w:val="default"/>
          <w:rFonts w:cs="FrankRuehl"/>
          <w:rtl/>
        </w:rPr>
        <w:t>–</w:t>
      </w:r>
      <w:r>
        <w:rPr>
          <w:rStyle w:val="default"/>
          <w:rFonts w:cs="FrankRuehl" w:hint="cs"/>
          <w:rtl/>
        </w:rPr>
        <w:t xml:space="preserve"> הפקודה), ובאישור ועדת הכספים של הכנסת, אני מצווה לאמור:</w:t>
      </w:r>
    </w:p>
    <w:p w:rsidR="00E72FC9" w:rsidRDefault="00E72FC9">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0pt;z-index:251657216" o:allowincell="f" filled="f" stroked="f" strokecolor="lime" strokeweight=".25pt">
            <v:textbox style="mso-next-textbox:#_x0000_s1026" inset="0,0,0,0">
              <w:txbxContent>
                <w:p w:rsidR="00E72FC9" w:rsidRDefault="00E72FC9">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בצו זה </w:t>
      </w:r>
      <w:r>
        <w:rPr>
          <w:rStyle w:val="default"/>
          <w:rFonts w:cs="FrankRuehl"/>
          <w:rtl/>
        </w:rPr>
        <w:t>–</w:t>
      </w:r>
    </w:p>
    <w:p w:rsidR="00E72FC9" w:rsidRDefault="00E72FC9">
      <w:pPr>
        <w:pStyle w:val="P00"/>
        <w:spacing w:before="72"/>
        <w:ind w:left="0" w:right="1134"/>
        <w:rPr>
          <w:rStyle w:val="default"/>
          <w:rFonts w:cs="FrankRuehl" w:hint="cs"/>
          <w:rtl/>
        </w:rPr>
      </w:pPr>
      <w:r>
        <w:rPr>
          <w:rStyle w:val="default"/>
          <w:rFonts w:cs="FrankRuehl" w:hint="cs"/>
          <w:rtl/>
        </w:rPr>
        <w:tab/>
        <w:t xml:space="preserve">"יחידת השתתפות בשותפות נפט" ו"יחידת השתתפות בשותפות סרטים" </w:t>
      </w:r>
      <w:r>
        <w:rPr>
          <w:rStyle w:val="default"/>
          <w:rFonts w:cs="FrankRuehl"/>
          <w:rtl/>
        </w:rPr>
        <w:t>–</w:t>
      </w:r>
      <w:r>
        <w:rPr>
          <w:rStyle w:val="default"/>
          <w:rFonts w:cs="FrankRuehl" w:hint="cs"/>
          <w:rtl/>
        </w:rPr>
        <w:t xml:space="preserve"> כהגדרתן בסעיף 105יא לפקודה, הנסחרות בבורסה בישראל;</w:t>
      </w:r>
    </w:p>
    <w:p w:rsidR="00E72FC9" w:rsidRDefault="00E72FC9">
      <w:pPr>
        <w:pStyle w:val="P00"/>
        <w:spacing w:before="72"/>
        <w:ind w:left="0" w:right="1134"/>
        <w:rPr>
          <w:rStyle w:val="default"/>
          <w:rFonts w:cs="FrankRuehl" w:hint="cs"/>
          <w:rtl/>
        </w:rPr>
      </w:pPr>
      <w:r>
        <w:rPr>
          <w:rStyle w:val="default"/>
          <w:rFonts w:cs="FrankRuehl" w:hint="cs"/>
          <w:rtl/>
        </w:rPr>
        <w:tab/>
        <w:t xml:space="preserve">"ניירות ערך" </w:t>
      </w:r>
      <w:r>
        <w:rPr>
          <w:rStyle w:val="default"/>
          <w:rFonts w:cs="FrankRuehl"/>
          <w:rtl/>
        </w:rPr>
        <w:t>–</w:t>
      </w:r>
      <w:r>
        <w:rPr>
          <w:rStyle w:val="default"/>
          <w:rFonts w:cs="FrankRuehl" w:hint="cs"/>
          <w:rtl/>
        </w:rPr>
        <w:t xml:space="preserve"> כהגדרתם בחוק ניירות ערך, לרבות איגרות חוב של מדינת ישראל ומילווה מכוח חוק מילווה המדינה, התשל"ט-1979, הנסחרים בבורסה בישראל או בבורסה או בשוק מוסדר מחוץ לישראל, וכן יחידת השתתפות בשותפות נפט או יחידת השתתפות בשותפות סרטים וזכות באיגוד מקרקעין, כהגדרתם בחוק מיסוי מקרקעין, הנסחרות בבורסה בישראל, למעט נייר ערך שנקבע כנייר ערך זר לפי סעיפים 105יא או 129ב לפקודה ולמעט איגרת חוב ומילווה המדינה שהונפקו או שהוצאו לפני יום ג' באייר התש"ס (8 במאי 2000);</w:t>
      </w:r>
    </w:p>
    <w:p w:rsidR="00E72FC9" w:rsidRDefault="00E72FC9">
      <w:pPr>
        <w:pStyle w:val="P00"/>
        <w:spacing w:before="72"/>
        <w:ind w:left="0" w:right="1134"/>
        <w:rPr>
          <w:rStyle w:val="default"/>
          <w:rFonts w:cs="FrankRuehl" w:hint="cs"/>
          <w:rtl/>
        </w:rPr>
      </w:pPr>
      <w:r>
        <w:rPr>
          <w:rStyle w:val="default"/>
          <w:rFonts w:cs="FrankRuehl" w:hint="cs"/>
          <w:rtl/>
        </w:rPr>
        <w:tab/>
        <w:t xml:space="preserve">"עסקה עתידית" </w:t>
      </w:r>
      <w:r>
        <w:rPr>
          <w:rStyle w:val="default"/>
          <w:rFonts w:cs="FrankRuehl"/>
          <w:rtl/>
        </w:rPr>
        <w:t>–</w:t>
      </w:r>
      <w:r>
        <w:rPr>
          <w:rStyle w:val="default"/>
          <w:rFonts w:cs="FrankRuehl" w:hint="cs"/>
          <w:rtl/>
        </w:rPr>
        <w:t xml:space="preserve"> כהגדרתה בסעיף 105יא לפקודה, ואולם עד לתום שנת המס 2006, למעט עסקה עתידית שנקבעה כנייר ערך זר לפי סעיפים 105יא או 129ב לפקודה.</w:t>
      </w:r>
    </w:p>
    <w:p w:rsidR="00E72FC9" w:rsidRDefault="00E72F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לכל מונח אחר בצו זה תהיה המשמעות הנודעת לו בסעיף 105יא לפקודה, אם לא נאמר במפורש אחרת.</w:t>
      </w:r>
    </w:p>
    <w:p w:rsidR="00E72FC9" w:rsidRDefault="00E72FC9">
      <w:pPr>
        <w:pStyle w:val="P00"/>
        <w:spacing w:before="72"/>
        <w:ind w:left="0" w:right="1134"/>
        <w:rPr>
          <w:rStyle w:val="default"/>
          <w:rFonts w:cs="FrankRuehl" w:hint="cs"/>
          <w:rtl/>
        </w:rPr>
      </w:pPr>
      <w:bookmarkStart w:id="1" w:name="Seif2"/>
      <w:bookmarkEnd w:id="1"/>
      <w:r>
        <w:rPr>
          <w:rFonts w:cs="Miriam"/>
          <w:szCs w:val="32"/>
          <w:rtl/>
          <w:lang w:val="he-IL"/>
        </w:rPr>
        <w:pict>
          <v:shapetype id="_x0000_t202" coordsize="21600,21600" o:spt="202" path="m,l,21600r21600,l21600,xe">
            <v:stroke joinstyle="miter"/>
            <v:path gradientshapeok="t" o:connecttype="rect"/>
          </v:shapetype>
          <v:shape id="_x0000_s1036" type="#_x0000_t202" style="position:absolute;left:0;text-align:left;margin-left:470.25pt;margin-top:2.2pt;width:1in;height:22.45pt;z-index:251658240" filled="f" stroked="f">
            <v:textbox inset="1mm,,1mm">
              <w:txbxContent>
                <w:p w:rsidR="00E72FC9" w:rsidRDefault="00E72FC9">
                  <w:pPr>
                    <w:spacing w:line="160" w:lineRule="exact"/>
                    <w:jc w:val="left"/>
                    <w:rPr>
                      <w:rFonts w:cs="Miriam" w:hint="cs"/>
                      <w:szCs w:val="18"/>
                      <w:rtl/>
                    </w:rPr>
                  </w:pPr>
                  <w:r>
                    <w:rPr>
                      <w:rFonts w:cs="Miriam" w:hint="cs"/>
                      <w:szCs w:val="18"/>
                      <w:rtl/>
                    </w:rPr>
                    <w:t>קביעת תמורה או רווח הון כהכנסה</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תמורה, תשלום רווח הון או רווח הון ריאלי במכירת ניירות ערך או בעסקה עתידית, יהיו הכנסה לענין סעיף 164 לפקודה.</w:t>
      </w:r>
    </w:p>
    <w:p w:rsidR="00E72FC9" w:rsidRDefault="00E72FC9">
      <w:pPr>
        <w:pStyle w:val="P00"/>
        <w:spacing w:before="72"/>
        <w:ind w:left="0" w:right="1134"/>
        <w:rPr>
          <w:rStyle w:val="default"/>
          <w:rFonts w:cs="FrankRuehl" w:hint="cs"/>
          <w:rtl/>
        </w:rPr>
      </w:pPr>
    </w:p>
    <w:p w:rsidR="00E72FC9" w:rsidRDefault="00E72FC9">
      <w:pPr>
        <w:pStyle w:val="P00"/>
        <w:spacing w:before="72"/>
        <w:ind w:left="0" w:right="1134"/>
        <w:rPr>
          <w:rStyle w:val="default"/>
          <w:rFonts w:cs="FrankRuehl" w:hint="cs"/>
          <w:rtl/>
        </w:rPr>
      </w:pPr>
    </w:p>
    <w:p w:rsidR="00E72FC9" w:rsidRDefault="00E72FC9">
      <w:pPr>
        <w:pStyle w:val="P00"/>
        <w:tabs>
          <w:tab w:val="clear" w:pos="624"/>
          <w:tab w:val="clear" w:pos="1021"/>
          <w:tab w:val="clear" w:pos="1474"/>
          <w:tab w:val="clear" w:pos="1928"/>
          <w:tab w:val="clear" w:pos="2381"/>
          <w:tab w:val="clear" w:pos="2835"/>
          <w:tab w:val="clear" w:pos="6259"/>
          <w:tab w:val="center" w:pos="5670"/>
        </w:tabs>
        <w:spacing w:before="72"/>
        <w:ind w:left="0" w:right="1134"/>
        <w:rPr>
          <w:sz w:val="26"/>
          <w:rtl/>
        </w:rPr>
      </w:pPr>
      <w:r>
        <w:rPr>
          <w:rStyle w:val="default"/>
          <w:rFonts w:cs="FrankRuehl" w:hint="cs"/>
          <w:rtl/>
        </w:rPr>
        <w:t>י"ז בטבת התשס"ג (22 בדצמבר 2002)</w:t>
      </w:r>
      <w:r>
        <w:rPr>
          <w:rStyle w:val="default"/>
          <w:rFonts w:cs="FrankRuehl" w:hint="cs"/>
          <w:rtl/>
        </w:rPr>
        <w:tab/>
      </w:r>
      <w:r>
        <w:rPr>
          <w:rFonts w:hint="cs"/>
          <w:spacing w:val="30"/>
          <w:sz w:val="26"/>
          <w:rtl/>
        </w:rPr>
        <w:t>סילבן שלום</w:t>
      </w:r>
    </w:p>
    <w:p w:rsidR="00E72FC9" w:rsidRDefault="00E72FC9">
      <w:pPr>
        <w:pStyle w:val="sig-1"/>
        <w:widowControl/>
        <w:tabs>
          <w:tab w:val="clear" w:pos="851"/>
          <w:tab w:val="clear" w:pos="2835"/>
          <w:tab w:val="clear" w:pos="4820"/>
          <w:tab w:val="center" w:pos="5670"/>
        </w:tabs>
        <w:ind w:left="0" w:right="1134"/>
        <w:rPr>
          <w:rFonts w:hint="cs"/>
          <w:rtl/>
        </w:rPr>
      </w:pPr>
      <w:r>
        <w:rPr>
          <w:rtl/>
        </w:rPr>
        <w:tab/>
      </w:r>
      <w:r>
        <w:rPr>
          <w:rFonts w:hint="cs"/>
          <w:rtl/>
        </w:rPr>
        <w:t>שר האוצר</w:t>
      </w:r>
    </w:p>
    <w:p w:rsidR="00E72FC9" w:rsidRPr="00B908AA" w:rsidRDefault="00E72FC9">
      <w:pPr>
        <w:pStyle w:val="P00"/>
        <w:spacing w:before="72"/>
        <w:ind w:left="0" w:right="1134"/>
        <w:rPr>
          <w:rStyle w:val="default"/>
          <w:rFonts w:cs="FrankRuehl" w:hint="cs"/>
          <w:rtl/>
        </w:rPr>
      </w:pPr>
    </w:p>
    <w:p w:rsidR="00B908AA" w:rsidRPr="00B908AA" w:rsidRDefault="00B908AA">
      <w:pPr>
        <w:pStyle w:val="P00"/>
        <w:spacing w:before="72"/>
        <w:ind w:left="0" w:right="1134"/>
        <w:rPr>
          <w:rStyle w:val="default"/>
          <w:rFonts w:cs="FrankRuehl"/>
          <w:rtl/>
        </w:rPr>
      </w:pPr>
    </w:p>
    <w:p w:rsidR="00E72FC9" w:rsidRPr="00B908AA" w:rsidRDefault="00E72FC9" w:rsidP="00B908AA">
      <w:pPr>
        <w:pStyle w:val="P00"/>
        <w:spacing w:before="72"/>
        <w:ind w:left="0" w:right="1134"/>
        <w:rPr>
          <w:rStyle w:val="default"/>
          <w:rFonts w:cs="FrankRuehl"/>
          <w:rtl/>
        </w:rPr>
      </w:pPr>
      <w:bookmarkStart w:id="2" w:name="LawPartEnd"/>
    </w:p>
    <w:bookmarkEnd w:id="2"/>
    <w:p w:rsidR="00E72FC9" w:rsidRPr="00B908AA" w:rsidRDefault="00E72FC9" w:rsidP="00B908AA">
      <w:pPr>
        <w:pStyle w:val="P00"/>
        <w:spacing w:before="72"/>
        <w:ind w:left="0" w:right="1134"/>
        <w:rPr>
          <w:rStyle w:val="default"/>
          <w:rFonts w:cs="FrankRuehl"/>
          <w:rtl/>
        </w:rPr>
      </w:pPr>
    </w:p>
    <w:sectPr w:rsidR="00E72FC9" w:rsidRPr="00B908AA">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3EB9" w:rsidRDefault="00533EB9">
      <w:r>
        <w:separator/>
      </w:r>
    </w:p>
  </w:endnote>
  <w:endnote w:type="continuationSeparator" w:id="0">
    <w:p w:rsidR="00533EB9" w:rsidRDefault="00533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2FC9" w:rsidRDefault="00E72FC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72FC9" w:rsidRDefault="00E72FC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72FC9" w:rsidRDefault="00E72FC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61490">
      <w:rPr>
        <w:rFonts w:cs="TopType Jerushalmi"/>
        <w:noProof/>
        <w:color w:val="000000"/>
        <w:sz w:val="14"/>
        <w:szCs w:val="14"/>
      </w:rPr>
      <w:t>Z:\000000000000-law\yael\08-10-12\999_081.doc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2FC9" w:rsidRDefault="00E72FC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E7594">
      <w:rPr>
        <w:rFonts w:hAnsi="FrankRuehl" w:cs="FrankRuehl"/>
        <w:noProof/>
        <w:sz w:val="24"/>
        <w:szCs w:val="24"/>
        <w:rtl/>
      </w:rPr>
      <w:t>2</w:t>
    </w:r>
    <w:r>
      <w:rPr>
        <w:rFonts w:hAnsi="FrankRuehl" w:cs="FrankRuehl"/>
        <w:sz w:val="24"/>
        <w:szCs w:val="24"/>
        <w:rtl/>
      </w:rPr>
      <w:fldChar w:fldCharType="end"/>
    </w:r>
  </w:p>
  <w:p w:rsidR="00E72FC9" w:rsidRDefault="00E72FC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72FC9" w:rsidRDefault="00E72FC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61490">
      <w:rPr>
        <w:rFonts w:cs="TopType Jerushalmi"/>
        <w:noProof/>
        <w:color w:val="000000"/>
        <w:sz w:val="14"/>
        <w:szCs w:val="14"/>
      </w:rPr>
      <w:t>Z:\000000000000-law\yael\08-10-12\999_081.doc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3EB9" w:rsidRDefault="00533EB9">
      <w:r>
        <w:separator/>
      </w:r>
    </w:p>
  </w:footnote>
  <w:footnote w:type="continuationSeparator" w:id="0">
    <w:p w:rsidR="00533EB9" w:rsidRDefault="00533EB9">
      <w:r>
        <w:continuationSeparator/>
      </w:r>
    </w:p>
  </w:footnote>
  <w:footnote w:id="1">
    <w:p w:rsidR="00B908AA" w:rsidRDefault="00B908AA" w:rsidP="00B908A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sidRPr="00F32768">
          <w:rPr>
            <w:rStyle w:val="Hyperlink"/>
            <w:rFonts w:hint="cs"/>
            <w:sz w:val="20"/>
            <w:rtl/>
          </w:rPr>
          <w:t>ק"ת תשס"ג מס' 6218</w:t>
        </w:r>
      </w:hyperlink>
      <w:r>
        <w:rPr>
          <w:rFonts w:hint="cs"/>
          <w:sz w:val="20"/>
          <w:rtl/>
        </w:rPr>
        <w:t xml:space="preserve"> מיום 31.12.2002 עמ' 374.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2FC9" w:rsidRDefault="00E72FC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rsidR="00E72FC9" w:rsidRDefault="00E72FC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72FC9" w:rsidRDefault="00E72FC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2FC9" w:rsidRDefault="00E72FC9">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צו מס הכנסה (קביעת תמורה, תשלום או רווח הון ממכירת נייר ערך או מעסקה עתידית כהכנסה), תשס"ג-2002</w:t>
    </w:r>
  </w:p>
  <w:p w:rsidR="00E72FC9" w:rsidRDefault="00E72FC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72FC9" w:rsidRDefault="00E72FC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2768"/>
    <w:rsid w:val="001E7594"/>
    <w:rsid w:val="002F37D9"/>
    <w:rsid w:val="00361490"/>
    <w:rsid w:val="00533EB9"/>
    <w:rsid w:val="0066263D"/>
    <w:rsid w:val="007B7708"/>
    <w:rsid w:val="0098206A"/>
    <w:rsid w:val="00B17011"/>
    <w:rsid w:val="00B908AA"/>
    <w:rsid w:val="00CC2E53"/>
    <w:rsid w:val="00E72FC9"/>
    <w:rsid w:val="00ED57DF"/>
    <w:rsid w:val="00F3276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94EBDB85-DD25-4544-BA8A-A32540E3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1637</CharactersWithSpaces>
  <SharedDoc>false</SharedDoc>
  <HLinks>
    <vt:vector size="18" baseType="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8257538</vt:i4>
      </vt:variant>
      <vt:variant>
        <vt:i4>0</vt:i4>
      </vt:variant>
      <vt:variant>
        <vt:i4>0</vt:i4>
      </vt:variant>
      <vt:variant>
        <vt:i4>5</vt:i4>
      </vt:variant>
      <vt:variant>
        <vt:lpwstr>http://www.nevo.co.il/Law_word/law06/TAK-6218.pdf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hofit</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מס הכנסה (קביעת תמורה, תשלום או רווח הון ממכירת נייר ערך או מעסקה עתידית כהכנסה), תשס"ג-2002</vt:lpwstr>
  </property>
  <property fmtid="{D5CDD505-2E9C-101B-9397-08002B2CF9AE}" pid="4" name="LAWNUMBER">
    <vt:lpwstr>0081</vt:lpwstr>
  </property>
  <property fmtid="{D5CDD505-2E9C-101B-9397-08002B2CF9AE}" pid="5" name="TYPE">
    <vt:lpwstr>01</vt:lpwstr>
  </property>
  <property fmtid="{D5CDD505-2E9C-101B-9397-08002B2CF9AE}" pid="6" name="MEKOR_NAME1">
    <vt:lpwstr>פקודת מס הכנסה </vt:lpwstr>
  </property>
  <property fmtid="{D5CDD505-2E9C-101B-9397-08002B2CF9AE}" pid="7" name="MEKOR_SAIF1">
    <vt:lpwstr>164X</vt:lpwstr>
  </property>
  <property fmtid="{D5CDD505-2E9C-101B-9397-08002B2CF9AE}" pid="8" name="NOSE11">
    <vt:lpwstr>מסים</vt:lpwstr>
  </property>
  <property fmtid="{D5CDD505-2E9C-101B-9397-08002B2CF9AE}" pid="9" name="NOSE21">
    <vt:lpwstr>מס הכנסה</vt:lpwstr>
  </property>
  <property fmtid="{D5CDD505-2E9C-101B-9397-08002B2CF9AE}" pid="10" name="NOSE31">
    <vt:lpwstr>קביעות וכללים</vt:lpwstr>
  </property>
  <property fmtid="{D5CDD505-2E9C-101B-9397-08002B2CF9AE}" pid="11" name="NOSE41">
    <vt:lpwstr>קביעה כהכנסה</vt:lpwstr>
  </property>
  <property fmtid="{D5CDD505-2E9C-101B-9397-08002B2CF9AE}" pid="12" name="NOSE12">
    <vt:lpwstr>מסים</vt:lpwstr>
  </property>
  <property fmtid="{D5CDD505-2E9C-101B-9397-08002B2CF9AE}" pid="13" name="NOSE22">
    <vt:lpwstr>מס הכנסה</vt:lpwstr>
  </property>
  <property fmtid="{D5CDD505-2E9C-101B-9397-08002B2CF9AE}" pid="14" name="NOSE32">
    <vt:lpwstr>מיסוי הון</vt:lpwstr>
  </property>
  <property fmtid="{D5CDD505-2E9C-101B-9397-08002B2CF9AE}" pid="15" name="NOSE42">
    <vt:lpwstr>עסקה עתידית</vt:lpwstr>
  </property>
  <property fmtid="{D5CDD505-2E9C-101B-9397-08002B2CF9AE}" pid="16" name="NOSE13">
    <vt:lpwstr>מסים</vt:lpwstr>
  </property>
  <property fmtid="{D5CDD505-2E9C-101B-9397-08002B2CF9AE}" pid="17" name="NOSE23">
    <vt:lpwstr>מס הכנסה</vt:lpwstr>
  </property>
  <property fmtid="{D5CDD505-2E9C-101B-9397-08002B2CF9AE}" pid="18" name="NOSE33">
    <vt:lpwstr>ניירות ערך</vt:lpwstr>
  </property>
  <property fmtid="{D5CDD505-2E9C-101B-9397-08002B2CF9AE}" pid="19" name="NOSE43">
    <vt:lpwstr/>
  </property>
  <property fmtid="{D5CDD505-2E9C-101B-9397-08002B2CF9AE}" pid="20" name="NOSE14">
    <vt:lpwstr/>
  </property>
  <property fmtid="{D5CDD505-2E9C-101B-9397-08002B2CF9AE}" pid="21" name="NOSE24">
    <vt:lpwstr/>
  </property>
  <property fmtid="{D5CDD505-2E9C-101B-9397-08002B2CF9AE}" pid="22" name="NOSE34">
    <vt:lpwstr/>
  </property>
  <property fmtid="{D5CDD505-2E9C-101B-9397-08002B2CF9AE}" pid="23" name="NOSE44">
    <vt:lpwstr/>
  </property>
  <property fmtid="{D5CDD505-2E9C-101B-9397-08002B2CF9AE}" pid="24" name="NOSE15">
    <vt:lpwstr/>
  </property>
  <property fmtid="{D5CDD505-2E9C-101B-9397-08002B2CF9AE}" pid="25" name="NOSE25">
    <vt:lpwstr/>
  </property>
  <property fmtid="{D5CDD505-2E9C-101B-9397-08002B2CF9AE}" pid="26" name="NOSE35">
    <vt:lpwstr/>
  </property>
  <property fmtid="{D5CDD505-2E9C-101B-9397-08002B2CF9AE}" pid="27" name="NOSE45">
    <vt:lpwstr/>
  </property>
  <property fmtid="{D5CDD505-2E9C-101B-9397-08002B2CF9AE}" pid="28" name="NOSE16">
    <vt:lpwstr/>
  </property>
  <property fmtid="{D5CDD505-2E9C-101B-9397-08002B2CF9AE}" pid="29" name="NOSE26">
    <vt:lpwstr/>
  </property>
  <property fmtid="{D5CDD505-2E9C-101B-9397-08002B2CF9AE}" pid="30" name="NOSE36">
    <vt:lpwstr/>
  </property>
  <property fmtid="{D5CDD505-2E9C-101B-9397-08002B2CF9AE}" pid="31" name="NOSE46">
    <vt:lpwstr/>
  </property>
  <property fmtid="{D5CDD505-2E9C-101B-9397-08002B2CF9AE}" pid="32" name="NOSE17">
    <vt:lpwstr/>
  </property>
  <property fmtid="{D5CDD505-2E9C-101B-9397-08002B2CF9AE}" pid="33" name="NOSE27">
    <vt:lpwstr/>
  </property>
  <property fmtid="{D5CDD505-2E9C-101B-9397-08002B2CF9AE}" pid="34" name="NOSE37">
    <vt:lpwstr/>
  </property>
  <property fmtid="{D5CDD505-2E9C-101B-9397-08002B2CF9AE}" pid="35" name="NOSE47">
    <vt:lpwstr/>
  </property>
  <property fmtid="{D5CDD505-2E9C-101B-9397-08002B2CF9AE}" pid="36" name="NOSE18">
    <vt:lpwstr/>
  </property>
  <property fmtid="{D5CDD505-2E9C-101B-9397-08002B2CF9AE}" pid="37" name="NOSE28">
    <vt:lpwstr/>
  </property>
  <property fmtid="{D5CDD505-2E9C-101B-9397-08002B2CF9AE}" pid="38" name="NOSE38">
    <vt:lpwstr/>
  </property>
  <property fmtid="{D5CDD505-2E9C-101B-9397-08002B2CF9AE}" pid="39" name="NOSE48">
    <vt:lpwstr/>
  </property>
  <property fmtid="{D5CDD505-2E9C-101B-9397-08002B2CF9AE}" pid="40" name="NOSE19">
    <vt:lpwstr/>
  </property>
  <property fmtid="{D5CDD505-2E9C-101B-9397-08002B2CF9AE}" pid="41" name="NOSE29">
    <vt:lpwstr/>
  </property>
  <property fmtid="{D5CDD505-2E9C-101B-9397-08002B2CF9AE}" pid="42" name="NOSE39">
    <vt:lpwstr/>
  </property>
  <property fmtid="{D5CDD505-2E9C-101B-9397-08002B2CF9AE}" pid="43" name="NOSE49">
    <vt:lpwstr/>
  </property>
  <property fmtid="{D5CDD505-2E9C-101B-9397-08002B2CF9AE}" pid="44" name="NOSE110">
    <vt:lpwstr/>
  </property>
  <property fmtid="{D5CDD505-2E9C-101B-9397-08002B2CF9AE}" pid="45" name="NOSE210">
    <vt:lpwstr/>
  </property>
  <property fmtid="{D5CDD505-2E9C-101B-9397-08002B2CF9AE}" pid="46" name="NOSE310">
    <vt:lpwstr/>
  </property>
  <property fmtid="{D5CDD505-2E9C-101B-9397-08002B2CF9AE}" pid="47" name="NOSE410">
    <vt:lpwstr/>
  </property>
</Properties>
</file>