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A59CE" w14:textId="77777777" w:rsidR="00726B4A" w:rsidRDefault="00726B4A" w:rsidP="0041249D">
      <w:pPr>
        <w:pStyle w:val="big-header"/>
        <w:ind w:left="0" w:right="1134"/>
        <w:rPr>
          <w:rFonts w:hint="cs"/>
          <w:rtl/>
        </w:rPr>
      </w:pPr>
      <w:r>
        <w:rPr>
          <w:rFonts w:hint="cs"/>
          <w:rtl/>
        </w:rPr>
        <w:t>צו מס הכנסה (קביעת תשלומים ששולמו לבעל יחידה בקרן נאמנות כהכנסה), תשס"ג-2002</w:t>
      </w:r>
    </w:p>
    <w:p w14:paraId="3B140C67" w14:textId="77777777" w:rsidR="005710E7" w:rsidRPr="005710E7" w:rsidRDefault="005710E7" w:rsidP="005710E7">
      <w:pPr>
        <w:spacing w:line="320" w:lineRule="auto"/>
        <w:jc w:val="left"/>
        <w:rPr>
          <w:rFonts w:cs="FrankRuehl"/>
          <w:szCs w:val="26"/>
          <w:rtl/>
        </w:rPr>
      </w:pPr>
    </w:p>
    <w:p w14:paraId="0B2C99B9" w14:textId="77777777" w:rsidR="005710E7" w:rsidRDefault="005710E7" w:rsidP="005710E7">
      <w:pPr>
        <w:spacing w:line="320" w:lineRule="auto"/>
        <w:jc w:val="left"/>
        <w:rPr>
          <w:rFonts w:cs="Miriam"/>
          <w:szCs w:val="22"/>
          <w:rtl/>
        </w:rPr>
      </w:pPr>
      <w:r w:rsidRPr="005710E7">
        <w:rPr>
          <w:rFonts w:cs="Miriam"/>
          <w:szCs w:val="22"/>
          <w:rtl/>
        </w:rPr>
        <w:t>מסים</w:t>
      </w:r>
      <w:r w:rsidRPr="005710E7">
        <w:rPr>
          <w:rFonts w:cs="FrankRuehl"/>
          <w:szCs w:val="26"/>
          <w:rtl/>
        </w:rPr>
        <w:t xml:space="preserve"> – מס הכנסה – קביעות וכללים – קביעה כהכנסה</w:t>
      </w:r>
    </w:p>
    <w:p w14:paraId="4911FA90" w14:textId="77777777" w:rsidR="005710E7" w:rsidRDefault="005710E7" w:rsidP="005710E7">
      <w:pPr>
        <w:spacing w:line="320" w:lineRule="auto"/>
        <w:jc w:val="left"/>
        <w:rPr>
          <w:rFonts w:cs="Miriam"/>
          <w:szCs w:val="22"/>
          <w:rtl/>
        </w:rPr>
      </w:pPr>
      <w:r w:rsidRPr="005710E7">
        <w:rPr>
          <w:rFonts w:cs="Miriam"/>
          <w:szCs w:val="22"/>
          <w:rtl/>
        </w:rPr>
        <w:t>מסים</w:t>
      </w:r>
      <w:r w:rsidRPr="005710E7">
        <w:rPr>
          <w:rFonts w:cs="FrankRuehl"/>
          <w:szCs w:val="26"/>
          <w:rtl/>
        </w:rPr>
        <w:t xml:space="preserve"> – מס הכנסה – קרן נאמנות</w:t>
      </w:r>
    </w:p>
    <w:p w14:paraId="51C65488" w14:textId="77777777" w:rsidR="005710E7" w:rsidRDefault="005710E7" w:rsidP="005710E7">
      <w:pPr>
        <w:spacing w:line="320" w:lineRule="auto"/>
        <w:jc w:val="left"/>
        <w:rPr>
          <w:rFonts w:cs="Miriam"/>
          <w:szCs w:val="22"/>
          <w:rtl/>
        </w:rPr>
      </w:pPr>
      <w:r w:rsidRPr="005710E7">
        <w:rPr>
          <w:rFonts w:cs="Miriam"/>
          <w:szCs w:val="22"/>
          <w:rtl/>
        </w:rPr>
        <w:t>משפט פרטי וכלכלה</w:t>
      </w:r>
      <w:r w:rsidRPr="005710E7">
        <w:rPr>
          <w:rFonts w:cs="FrankRuehl"/>
          <w:szCs w:val="26"/>
          <w:rtl/>
        </w:rPr>
        <w:t xml:space="preserve"> – תאגידים וניירות ערך – השק' משותפות בנאמנות</w:t>
      </w:r>
    </w:p>
    <w:p w14:paraId="40A5C6AA" w14:textId="77777777" w:rsidR="005710E7" w:rsidRDefault="005710E7" w:rsidP="005710E7">
      <w:pPr>
        <w:spacing w:line="320" w:lineRule="auto"/>
        <w:jc w:val="left"/>
        <w:rPr>
          <w:rFonts w:cs="Miriam"/>
          <w:szCs w:val="22"/>
          <w:rtl/>
        </w:rPr>
      </w:pPr>
      <w:r w:rsidRPr="005710E7">
        <w:rPr>
          <w:rFonts w:cs="Miriam"/>
          <w:szCs w:val="22"/>
          <w:rtl/>
        </w:rPr>
        <w:t>משפט פרטי וכלכלה</w:t>
      </w:r>
      <w:r w:rsidRPr="005710E7">
        <w:rPr>
          <w:rFonts w:cs="FrankRuehl"/>
          <w:szCs w:val="26"/>
          <w:rtl/>
        </w:rPr>
        <w:t xml:space="preserve"> – כספים – השקעות  – השק' משותפות בנאמנות</w:t>
      </w:r>
    </w:p>
    <w:p w14:paraId="32C338C2" w14:textId="77777777" w:rsidR="005710E7" w:rsidRPr="005710E7" w:rsidRDefault="005710E7" w:rsidP="005710E7">
      <w:pPr>
        <w:spacing w:line="320" w:lineRule="auto"/>
        <w:jc w:val="left"/>
        <w:rPr>
          <w:rFonts w:cs="Miriam" w:hint="cs"/>
          <w:szCs w:val="22"/>
          <w:rtl/>
        </w:rPr>
      </w:pPr>
      <w:r w:rsidRPr="005710E7">
        <w:rPr>
          <w:rFonts w:cs="Miriam"/>
          <w:szCs w:val="22"/>
          <w:rtl/>
        </w:rPr>
        <w:t>משפט פרטי וכלכלה</w:t>
      </w:r>
      <w:r w:rsidRPr="005710E7">
        <w:rPr>
          <w:rFonts w:cs="FrankRuehl"/>
          <w:szCs w:val="26"/>
          <w:rtl/>
        </w:rPr>
        <w:t xml:space="preserve"> – חיובים – נאמנות – השק' משותפות בנאמנות</w:t>
      </w:r>
    </w:p>
    <w:p w14:paraId="06652B85" w14:textId="77777777" w:rsidR="0041249D" w:rsidRDefault="0041249D" w:rsidP="0041249D">
      <w:pPr>
        <w:pStyle w:val="big-header"/>
        <w:ind w:left="0" w:right="1134"/>
        <w:rPr>
          <w:rStyle w:val="default"/>
          <w:rFonts w:cs="FrankRuehl"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4146B" w:rsidRPr="0004146B" w14:paraId="67AA01BE" w14:textId="77777777">
        <w:tblPrEx>
          <w:tblCellMar>
            <w:top w:w="0" w:type="dxa"/>
            <w:bottom w:w="0" w:type="dxa"/>
          </w:tblCellMar>
        </w:tblPrEx>
        <w:tc>
          <w:tcPr>
            <w:tcW w:w="1247" w:type="dxa"/>
          </w:tcPr>
          <w:p w14:paraId="724333E7" w14:textId="77777777" w:rsidR="0004146B" w:rsidRPr="0004146B" w:rsidRDefault="0004146B" w:rsidP="0004146B">
            <w:pPr>
              <w:spacing w:line="240" w:lineRule="auto"/>
              <w:jc w:val="left"/>
              <w:rPr>
                <w:rFonts w:cs="Frankruhel" w:hint="cs"/>
                <w:sz w:val="24"/>
                <w:rtl/>
              </w:rPr>
            </w:pPr>
            <w:r>
              <w:rPr>
                <w:rFonts w:cs="Times New Roman"/>
                <w:sz w:val="24"/>
                <w:rtl/>
              </w:rPr>
              <w:t xml:space="preserve">סעיף 1 </w:t>
            </w:r>
          </w:p>
        </w:tc>
        <w:tc>
          <w:tcPr>
            <w:tcW w:w="5669" w:type="dxa"/>
          </w:tcPr>
          <w:p w14:paraId="172B13AA" w14:textId="77777777" w:rsidR="0004146B" w:rsidRPr="0004146B" w:rsidRDefault="0004146B" w:rsidP="0004146B">
            <w:pPr>
              <w:spacing w:line="240" w:lineRule="auto"/>
              <w:jc w:val="left"/>
              <w:rPr>
                <w:rFonts w:cs="Frankruhel" w:hint="cs"/>
                <w:sz w:val="24"/>
                <w:rtl/>
              </w:rPr>
            </w:pPr>
            <w:r>
              <w:rPr>
                <w:rFonts w:cs="Times New Roman"/>
                <w:sz w:val="24"/>
                <w:rtl/>
              </w:rPr>
              <w:t>הגדרות</w:t>
            </w:r>
          </w:p>
        </w:tc>
        <w:tc>
          <w:tcPr>
            <w:tcW w:w="567" w:type="dxa"/>
          </w:tcPr>
          <w:p w14:paraId="6A9E2637" w14:textId="77777777" w:rsidR="0004146B" w:rsidRPr="0004146B" w:rsidRDefault="0004146B" w:rsidP="0004146B">
            <w:pPr>
              <w:spacing w:line="240" w:lineRule="auto"/>
              <w:jc w:val="left"/>
              <w:rPr>
                <w:rStyle w:val="Hyperlink"/>
                <w:rFonts w:hint="cs"/>
                <w:rtl/>
              </w:rPr>
            </w:pPr>
            <w:hyperlink w:anchor="Seif1" w:tooltip="הגדרות" w:history="1">
              <w:r w:rsidRPr="0004146B">
                <w:rPr>
                  <w:rStyle w:val="Hyperlink"/>
                </w:rPr>
                <w:t>Go</w:t>
              </w:r>
            </w:hyperlink>
          </w:p>
        </w:tc>
        <w:tc>
          <w:tcPr>
            <w:tcW w:w="850" w:type="dxa"/>
          </w:tcPr>
          <w:p w14:paraId="502CF46E" w14:textId="77777777" w:rsidR="0004146B" w:rsidRPr="0004146B" w:rsidRDefault="0004146B" w:rsidP="0004146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04146B" w:rsidRPr="0004146B" w14:paraId="7BE3A055" w14:textId="77777777">
        <w:tblPrEx>
          <w:tblCellMar>
            <w:top w:w="0" w:type="dxa"/>
            <w:bottom w:w="0" w:type="dxa"/>
          </w:tblCellMar>
        </w:tblPrEx>
        <w:tc>
          <w:tcPr>
            <w:tcW w:w="1247" w:type="dxa"/>
          </w:tcPr>
          <w:p w14:paraId="0011B171" w14:textId="77777777" w:rsidR="0004146B" w:rsidRPr="0004146B" w:rsidRDefault="0004146B" w:rsidP="0004146B">
            <w:pPr>
              <w:spacing w:line="240" w:lineRule="auto"/>
              <w:jc w:val="left"/>
              <w:rPr>
                <w:rFonts w:cs="Frankruhel" w:hint="cs"/>
                <w:sz w:val="24"/>
                <w:rtl/>
              </w:rPr>
            </w:pPr>
            <w:r>
              <w:rPr>
                <w:rFonts w:cs="Times New Roman"/>
                <w:sz w:val="24"/>
                <w:rtl/>
              </w:rPr>
              <w:t xml:space="preserve">סעיף 2 </w:t>
            </w:r>
          </w:p>
        </w:tc>
        <w:tc>
          <w:tcPr>
            <w:tcW w:w="5669" w:type="dxa"/>
          </w:tcPr>
          <w:p w14:paraId="41D0E03E" w14:textId="77777777" w:rsidR="0004146B" w:rsidRPr="0004146B" w:rsidRDefault="0004146B" w:rsidP="0004146B">
            <w:pPr>
              <w:spacing w:line="240" w:lineRule="auto"/>
              <w:jc w:val="left"/>
              <w:rPr>
                <w:rFonts w:cs="Frankruhel" w:hint="cs"/>
                <w:sz w:val="24"/>
                <w:rtl/>
              </w:rPr>
            </w:pPr>
            <w:r>
              <w:rPr>
                <w:rFonts w:cs="Times New Roman"/>
                <w:sz w:val="24"/>
                <w:rtl/>
              </w:rPr>
              <w:t>קביעת תשלומים תמורה ורווח הון כהכנסה</w:t>
            </w:r>
          </w:p>
        </w:tc>
        <w:tc>
          <w:tcPr>
            <w:tcW w:w="567" w:type="dxa"/>
          </w:tcPr>
          <w:p w14:paraId="05377A1A" w14:textId="77777777" w:rsidR="0004146B" w:rsidRPr="0004146B" w:rsidRDefault="0004146B" w:rsidP="0004146B">
            <w:pPr>
              <w:spacing w:line="240" w:lineRule="auto"/>
              <w:jc w:val="left"/>
              <w:rPr>
                <w:rStyle w:val="Hyperlink"/>
                <w:rFonts w:hint="cs"/>
                <w:rtl/>
              </w:rPr>
            </w:pPr>
            <w:hyperlink w:anchor="Seif2" w:tooltip="קביעת תשלומים תמורה ורווח הון כהכנסה" w:history="1">
              <w:r w:rsidRPr="0004146B">
                <w:rPr>
                  <w:rStyle w:val="Hyperlink"/>
                </w:rPr>
                <w:t>Go</w:t>
              </w:r>
            </w:hyperlink>
          </w:p>
        </w:tc>
        <w:tc>
          <w:tcPr>
            <w:tcW w:w="850" w:type="dxa"/>
          </w:tcPr>
          <w:p w14:paraId="3C53F4D0" w14:textId="77777777" w:rsidR="0004146B" w:rsidRPr="0004146B" w:rsidRDefault="0004146B" w:rsidP="0004146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04146B" w:rsidRPr="0004146B" w14:paraId="55801DE3" w14:textId="77777777">
        <w:tblPrEx>
          <w:tblCellMar>
            <w:top w:w="0" w:type="dxa"/>
            <w:bottom w:w="0" w:type="dxa"/>
          </w:tblCellMar>
        </w:tblPrEx>
        <w:tc>
          <w:tcPr>
            <w:tcW w:w="1247" w:type="dxa"/>
          </w:tcPr>
          <w:p w14:paraId="668AD5BC" w14:textId="77777777" w:rsidR="0004146B" w:rsidRPr="0004146B" w:rsidRDefault="0004146B" w:rsidP="0004146B">
            <w:pPr>
              <w:spacing w:line="240" w:lineRule="auto"/>
              <w:jc w:val="left"/>
              <w:rPr>
                <w:rFonts w:cs="Frankruhel" w:hint="cs"/>
                <w:sz w:val="24"/>
                <w:rtl/>
              </w:rPr>
            </w:pPr>
            <w:r>
              <w:rPr>
                <w:rFonts w:cs="Times New Roman"/>
                <w:sz w:val="24"/>
                <w:rtl/>
              </w:rPr>
              <w:t xml:space="preserve">סעיף 3 </w:t>
            </w:r>
          </w:p>
        </w:tc>
        <w:tc>
          <w:tcPr>
            <w:tcW w:w="5669" w:type="dxa"/>
          </w:tcPr>
          <w:p w14:paraId="77368D0C" w14:textId="77777777" w:rsidR="0004146B" w:rsidRPr="0004146B" w:rsidRDefault="0004146B" w:rsidP="0004146B">
            <w:pPr>
              <w:spacing w:line="240" w:lineRule="auto"/>
              <w:jc w:val="left"/>
              <w:rPr>
                <w:rFonts w:cs="Frankruhel" w:hint="cs"/>
                <w:sz w:val="24"/>
                <w:rtl/>
              </w:rPr>
            </w:pPr>
            <w:r>
              <w:rPr>
                <w:rFonts w:cs="Times New Roman"/>
                <w:sz w:val="24"/>
                <w:rtl/>
              </w:rPr>
              <w:t>תחילה</w:t>
            </w:r>
          </w:p>
        </w:tc>
        <w:tc>
          <w:tcPr>
            <w:tcW w:w="567" w:type="dxa"/>
          </w:tcPr>
          <w:p w14:paraId="02CDF9F4" w14:textId="77777777" w:rsidR="0004146B" w:rsidRPr="0004146B" w:rsidRDefault="0004146B" w:rsidP="0004146B">
            <w:pPr>
              <w:spacing w:line="240" w:lineRule="auto"/>
              <w:jc w:val="left"/>
              <w:rPr>
                <w:rStyle w:val="Hyperlink"/>
                <w:rFonts w:hint="cs"/>
                <w:rtl/>
              </w:rPr>
            </w:pPr>
            <w:hyperlink w:anchor="Seif3" w:tooltip="תחילה" w:history="1">
              <w:r w:rsidRPr="0004146B">
                <w:rPr>
                  <w:rStyle w:val="Hyperlink"/>
                </w:rPr>
                <w:t>Go</w:t>
              </w:r>
            </w:hyperlink>
          </w:p>
        </w:tc>
        <w:tc>
          <w:tcPr>
            <w:tcW w:w="850" w:type="dxa"/>
          </w:tcPr>
          <w:p w14:paraId="32FAAB08" w14:textId="77777777" w:rsidR="0004146B" w:rsidRPr="0004146B" w:rsidRDefault="0004146B" w:rsidP="0004146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bl>
    <w:p w14:paraId="2F075EFD" w14:textId="77777777" w:rsidR="0041249D" w:rsidRDefault="0041249D" w:rsidP="0041249D">
      <w:pPr>
        <w:pStyle w:val="big-header"/>
        <w:ind w:left="0" w:right="1134"/>
        <w:rPr>
          <w:rFonts w:hint="cs"/>
          <w:rtl/>
        </w:rPr>
      </w:pPr>
    </w:p>
    <w:p w14:paraId="48D3DB5D" w14:textId="77777777" w:rsidR="0041249D" w:rsidRPr="00405C1E" w:rsidRDefault="0041249D" w:rsidP="00405C1E">
      <w:pPr>
        <w:pStyle w:val="big-header"/>
        <w:ind w:left="0" w:right="1134"/>
        <w:rPr>
          <w:rStyle w:val="default"/>
          <w:rFonts w:cs="FrankRuehl" w:hint="cs"/>
          <w:szCs w:val="32"/>
          <w:rtl/>
        </w:rPr>
      </w:pPr>
      <w:r>
        <w:rPr>
          <w:rtl/>
        </w:rPr>
        <w:br w:type="page"/>
      </w:r>
      <w:r>
        <w:rPr>
          <w:rFonts w:hint="cs"/>
          <w:rtl/>
        </w:rPr>
        <w:lastRenderedPageBreak/>
        <w:t>צו מס הכנסה (קביעת תשלומים ששולמו לבעל יחידה בקרן נאמנות כהכנסה), תשס"ג-2002</w:t>
      </w:r>
      <w:r>
        <w:rPr>
          <w:rStyle w:val="default"/>
          <w:sz w:val="22"/>
          <w:szCs w:val="22"/>
          <w:rtl/>
        </w:rPr>
        <w:footnoteReference w:customMarkFollows="1" w:id="1"/>
        <w:t>*</w:t>
      </w:r>
    </w:p>
    <w:p w14:paraId="02935542" w14:textId="77777777" w:rsidR="00726B4A" w:rsidRDefault="00726B4A">
      <w:pPr>
        <w:pStyle w:val="P00"/>
        <w:spacing w:before="72"/>
        <w:ind w:left="0" w:right="1134"/>
        <w:rPr>
          <w:rStyle w:val="default"/>
          <w:rFonts w:cs="FrankRuehl" w:hint="cs"/>
          <w:rtl/>
        </w:rPr>
      </w:pPr>
      <w:r>
        <w:rPr>
          <w:rtl/>
        </w:rPr>
        <w:tab/>
      </w:r>
      <w:r>
        <w:rPr>
          <w:rStyle w:val="default"/>
          <w:rFonts w:cs="FrankRuehl" w:hint="cs"/>
          <w:rtl/>
        </w:rPr>
        <w:t xml:space="preserve">בתוקף סמכותי לפי סעיף 164 לפקודת מס הכנסה (להלן </w:t>
      </w:r>
      <w:r>
        <w:rPr>
          <w:rStyle w:val="default"/>
          <w:rFonts w:cs="FrankRuehl"/>
          <w:rtl/>
        </w:rPr>
        <w:t>–</w:t>
      </w:r>
      <w:r>
        <w:rPr>
          <w:rStyle w:val="default"/>
          <w:rFonts w:cs="FrankRuehl" w:hint="cs"/>
          <w:rtl/>
        </w:rPr>
        <w:t xml:space="preserve"> הפקודה), ובאישור ועדת הכספים של הכנסת, אני מצווה לאמור:</w:t>
      </w:r>
    </w:p>
    <w:p w14:paraId="693A699D" w14:textId="77777777" w:rsidR="00726B4A" w:rsidRDefault="00726B4A">
      <w:pPr>
        <w:pStyle w:val="P00"/>
        <w:spacing w:before="72"/>
        <w:ind w:left="0" w:right="1134"/>
        <w:rPr>
          <w:rStyle w:val="default"/>
          <w:rFonts w:cs="FrankRuehl" w:hint="cs"/>
          <w:rtl/>
        </w:rPr>
      </w:pPr>
      <w:bookmarkStart w:id="0" w:name="Seif1"/>
      <w:bookmarkEnd w:id="0"/>
      <w:r>
        <w:rPr>
          <w:lang w:val="he-IL"/>
        </w:rPr>
        <w:pict w14:anchorId="5A720DE2">
          <v:rect id="_x0000_s1026" style="position:absolute;left:0;text-align:left;margin-left:464.5pt;margin-top:8.05pt;width:75.05pt;height:12pt;z-index:251656704" o:allowincell="f" filled="f" stroked="f" strokecolor="lime" strokeweight=".25pt">
            <v:textbox style="mso-next-textbox:#_x0000_s1026" inset="0,0,0,0">
              <w:txbxContent>
                <w:p w14:paraId="25B88864" w14:textId="77777777" w:rsidR="00726B4A" w:rsidRDefault="00726B4A">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tl/>
        </w:rPr>
        <w:t>1</w:t>
      </w:r>
      <w:r>
        <w:rPr>
          <w:rStyle w:val="default"/>
          <w:rFonts w:cs="FrankRuehl"/>
          <w:rtl/>
        </w:rPr>
        <w:t>.</w:t>
      </w:r>
      <w:r>
        <w:rPr>
          <w:rStyle w:val="default"/>
          <w:rFonts w:cs="FrankRuehl"/>
          <w:rtl/>
        </w:rPr>
        <w:tab/>
      </w:r>
      <w:r>
        <w:rPr>
          <w:rStyle w:val="default"/>
          <w:rFonts w:cs="FrankRuehl" w:hint="cs"/>
          <w:rtl/>
        </w:rPr>
        <w:t xml:space="preserve">בצו זה </w:t>
      </w:r>
      <w:r>
        <w:rPr>
          <w:rStyle w:val="default"/>
          <w:rFonts w:cs="FrankRuehl"/>
          <w:rtl/>
        </w:rPr>
        <w:t>–</w:t>
      </w:r>
    </w:p>
    <w:p w14:paraId="00F2A56D" w14:textId="77777777" w:rsidR="00726B4A" w:rsidRDefault="00726B4A">
      <w:pPr>
        <w:pStyle w:val="P00"/>
        <w:spacing w:before="72"/>
        <w:ind w:left="0" w:right="1134"/>
        <w:rPr>
          <w:rStyle w:val="default"/>
          <w:rFonts w:cs="FrankRuehl" w:hint="cs"/>
          <w:rtl/>
        </w:rPr>
      </w:pPr>
      <w:r>
        <w:rPr>
          <w:rStyle w:val="default"/>
          <w:rFonts w:cs="FrankRuehl" w:hint="cs"/>
          <w:rtl/>
        </w:rPr>
        <w:tab/>
        <w:t xml:space="preserve">"בעל יחידה" </w:t>
      </w:r>
      <w:r>
        <w:rPr>
          <w:rStyle w:val="default"/>
          <w:rFonts w:cs="FrankRuehl"/>
          <w:rtl/>
        </w:rPr>
        <w:t>–</w:t>
      </w:r>
      <w:r>
        <w:rPr>
          <w:rStyle w:val="default"/>
          <w:rFonts w:cs="FrankRuehl" w:hint="cs"/>
          <w:rtl/>
        </w:rPr>
        <w:t xml:space="preserve"> כהגדרתו בסעיף 105יא לפקודה, למעט בעל יחידה הנמנה עם המפורטים בתוספת לתקנות מס הכנסה (ניכוי מריבית), התשס"ג-2002;</w:t>
      </w:r>
    </w:p>
    <w:p w14:paraId="77C0F49A" w14:textId="77777777" w:rsidR="00726B4A" w:rsidRDefault="00726B4A">
      <w:pPr>
        <w:pStyle w:val="P00"/>
        <w:spacing w:before="72"/>
        <w:ind w:left="0" w:right="1134"/>
        <w:rPr>
          <w:rStyle w:val="default"/>
          <w:rFonts w:cs="FrankRuehl" w:hint="cs"/>
          <w:rtl/>
        </w:rPr>
      </w:pPr>
      <w:r>
        <w:rPr>
          <w:rStyle w:val="default"/>
          <w:rFonts w:cs="FrankRuehl" w:hint="cs"/>
          <w:rtl/>
        </w:rPr>
        <w:tab/>
        <w:t xml:space="preserve">"חייב" </w:t>
      </w:r>
      <w:r>
        <w:rPr>
          <w:rStyle w:val="default"/>
          <w:rFonts w:cs="FrankRuehl"/>
          <w:rtl/>
        </w:rPr>
        <w:t>–</w:t>
      </w:r>
      <w:r>
        <w:rPr>
          <w:rStyle w:val="default"/>
          <w:rFonts w:cs="FrankRuehl" w:hint="cs"/>
          <w:rtl/>
        </w:rPr>
        <w:t xml:space="preserve"> אדם המשלם לבעל יחידה תמורה בעת מעירת יחידה בקרן נאמנות, בין על חשבונו הוא ובין מטעמו או על חשבונו של אדם אחר, במישרין או בעקיפין, לרבות מוסד כספי כהגדרתו בחוק מס ערך מוסף, שבאמצעותו משתלמת ההכנסה, במישרין או בעקיפין, וכן קרן נאמנות המשלמת לבעל יחידה תשלומים וכל המשלם לו תשלומים, תמורה או רווחים על חשבונה או מטעמה, למעט יחיד המשלם תמורה בעת מכירת יחידה בקרן נאמנות שלא בתחום עסקו או משלח ידו;</w:t>
      </w:r>
    </w:p>
    <w:p w14:paraId="4074A604" w14:textId="77777777" w:rsidR="00726B4A" w:rsidRDefault="00726B4A">
      <w:pPr>
        <w:pStyle w:val="P00"/>
        <w:spacing w:before="72"/>
        <w:ind w:left="0" w:right="1134"/>
        <w:rPr>
          <w:rStyle w:val="default"/>
          <w:rFonts w:cs="FrankRuehl" w:hint="cs"/>
          <w:rtl/>
        </w:rPr>
      </w:pPr>
      <w:r>
        <w:rPr>
          <w:rStyle w:val="default"/>
          <w:rFonts w:cs="FrankRuehl" w:hint="cs"/>
          <w:rtl/>
        </w:rPr>
        <w:tab/>
        <w:t xml:space="preserve">"קרן נאמנות" ו"יחידה" </w:t>
      </w:r>
      <w:r>
        <w:rPr>
          <w:rStyle w:val="default"/>
          <w:rFonts w:cs="FrankRuehl"/>
          <w:rtl/>
        </w:rPr>
        <w:t>–</w:t>
      </w:r>
      <w:r>
        <w:rPr>
          <w:rStyle w:val="default"/>
          <w:rFonts w:cs="FrankRuehl" w:hint="cs"/>
          <w:rtl/>
        </w:rPr>
        <w:t xml:space="preserve"> כהגדרתן בסעיף 105יא לפקודה.</w:t>
      </w:r>
    </w:p>
    <w:p w14:paraId="5611C663" w14:textId="77777777" w:rsidR="00726B4A" w:rsidRDefault="00726B4A">
      <w:pPr>
        <w:pStyle w:val="P00"/>
        <w:spacing w:before="72"/>
        <w:ind w:left="0" w:right="1134"/>
        <w:rPr>
          <w:rStyle w:val="default"/>
          <w:rFonts w:cs="FrankRuehl" w:hint="cs"/>
          <w:rtl/>
        </w:rPr>
      </w:pPr>
      <w:bookmarkStart w:id="1" w:name="Seif2"/>
      <w:bookmarkEnd w:id="1"/>
      <w:r>
        <w:rPr>
          <w:rFonts w:cs="Miriam"/>
          <w:szCs w:val="32"/>
          <w:rtl/>
          <w:lang w:val="he-IL"/>
        </w:rPr>
        <w:pict w14:anchorId="648B7775">
          <v:shapetype id="_x0000_t202" coordsize="21600,21600" o:spt="202" path="m,l,21600r21600,l21600,xe">
            <v:stroke joinstyle="miter"/>
            <v:path gradientshapeok="t" o:connecttype="rect"/>
          </v:shapetype>
          <v:shape id="_x0000_s1036" type="#_x0000_t202" style="position:absolute;left:0;text-align:left;margin-left:470.25pt;margin-top:2.2pt;width:1in;height:31.75pt;z-index:251657728" filled="f" stroked="f">
            <v:textbox inset="1mm,,1mm">
              <w:txbxContent>
                <w:p w14:paraId="242A2228" w14:textId="77777777" w:rsidR="00726B4A" w:rsidRDefault="00726B4A">
                  <w:pPr>
                    <w:spacing w:line="160" w:lineRule="exact"/>
                    <w:jc w:val="left"/>
                    <w:rPr>
                      <w:rFonts w:cs="Miriam" w:hint="cs"/>
                      <w:szCs w:val="18"/>
                      <w:rtl/>
                    </w:rPr>
                  </w:pPr>
                  <w:r>
                    <w:rPr>
                      <w:rFonts w:cs="Miriam" w:hint="cs"/>
                      <w:szCs w:val="18"/>
                      <w:rtl/>
                    </w:rPr>
                    <w:t>קביעת תשלומים תמורה ורווח הון כהכנסה</w:t>
                  </w:r>
                </w:p>
              </w:txbxContent>
            </v:textbox>
            <w10:anchorlock/>
          </v:shape>
        </w:pict>
      </w:r>
      <w:r>
        <w:rPr>
          <w:rStyle w:val="default"/>
          <w:rFonts w:cs="Miriam" w:hint="cs"/>
          <w:sz w:val="32"/>
          <w:szCs w:val="32"/>
          <w:rtl/>
        </w:rPr>
        <w:t>2</w:t>
      </w:r>
      <w:r>
        <w:rPr>
          <w:rStyle w:val="default"/>
          <w:rFonts w:cs="FrankRuehl" w:hint="cs"/>
          <w:rtl/>
        </w:rPr>
        <w:t>.</w:t>
      </w:r>
      <w:r>
        <w:rPr>
          <w:rStyle w:val="default"/>
          <w:rFonts w:cs="FrankRuehl" w:hint="cs"/>
          <w:rtl/>
        </w:rPr>
        <w:tab/>
        <w:t>תשלומים, רווחים, תמורה, רווח הון ורווח הון ריאלי ששילם חייב לבעל יחידה יהיו הכנסה לענין סעיף 164 לפקודה.</w:t>
      </w:r>
    </w:p>
    <w:p w14:paraId="02F4A321" w14:textId="77777777" w:rsidR="00726B4A" w:rsidRDefault="00726B4A">
      <w:pPr>
        <w:pStyle w:val="P00"/>
        <w:spacing w:before="72"/>
        <w:ind w:left="0" w:right="1134"/>
        <w:rPr>
          <w:rStyle w:val="default"/>
          <w:rFonts w:cs="FrankRuehl" w:hint="cs"/>
          <w:rtl/>
        </w:rPr>
      </w:pPr>
      <w:bookmarkStart w:id="2" w:name="Seif3"/>
      <w:bookmarkEnd w:id="2"/>
      <w:r>
        <w:rPr>
          <w:rFonts w:cs="Miriam"/>
          <w:szCs w:val="32"/>
          <w:rtl/>
          <w:lang w:val="he-IL"/>
        </w:rPr>
        <w:pict w14:anchorId="5572B3F8">
          <v:shape id="_x0000_s1078" type="#_x0000_t202" style="position:absolute;left:0;text-align:left;margin-left:462pt;margin-top:5.2pt;width:80.25pt;height:16.2pt;z-index:251658752" filled="f" stroked="f">
            <v:textbox inset="1mm,,1mm">
              <w:txbxContent>
                <w:p w14:paraId="718F9EAD" w14:textId="77777777" w:rsidR="00726B4A" w:rsidRDefault="00726B4A">
                  <w:pPr>
                    <w:spacing w:line="160" w:lineRule="exact"/>
                    <w:jc w:val="left"/>
                    <w:rPr>
                      <w:rFonts w:cs="Miriam" w:hint="cs"/>
                      <w:szCs w:val="18"/>
                      <w:rtl/>
                    </w:rPr>
                  </w:pPr>
                  <w:r>
                    <w:rPr>
                      <w:rFonts w:cs="Miriam" w:hint="cs"/>
                      <w:szCs w:val="18"/>
                      <w:rtl/>
                    </w:rPr>
                    <w:t>תחילה</w:t>
                  </w:r>
                </w:p>
              </w:txbxContent>
            </v:textbox>
            <w10:anchorlock/>
          </v:shape>
        </w:pict>
      </w:r>
      <w:r>
        <w:rPr>
          <w:rStyle w:val="default"/>
          <w:rFonts w:cs="Miriam" w:hint="cs"/>
          <w:sz w:val="32"/>
          <w:szCs w:val="32"/>
          <w:rtl/>
        </w:rPr>
        <w:t>3</w:t>
      </w:r>
      <w:r>
        <w:rPr>
          <w:rStyle w:val="default"/>
          <w:rFonts w:cs="FrankRuehl" w:hint="cs"/>
          <w:rtl/>
        </w:rPr>
        <w:t>.</w:t>
      </w:r>
      <w:r>
        <w:rPr>
          <w:rStyle w:val="default"/>
          <w:rFonts w:cs="FrankRuehl" w:hint="cs"/>
          <w:rtl/>
        </w:rPr>
        <w:tab/>
        <w:t>תחילתו של צו זה ביום כ"ז בטבת התשס"ג (1 בינואר 2003).</w:t>
      </w:r>
    </w:p>
    <w:p w14:paraId="7E22D052" w14:textId="77777777" w:rsidR="00726B4A" w:rsidRDefault="00726B4A">
      <w:pPr>
        <w:pStyle w:val="P00"/>
        <w:spacing w:before="72"/>
        <w:ind w:left="0" w:right="1134"/>
        <w:rPr>
          <w:rStyle w:val="default"/>
          <w:rFonts w:cs="FrankRuehl" w:hint="cs"/>
          <w:rtl/>
        </w:rPr>
      </w:pPr>
    </w:p>
    <w:p w14:paraId="189EE7DC" w14:textId="77777777" w:rsidR="00726B4A" w:rsidRDefault="00726B4A">
      <w:pPr>
        <w:pStyle w:val="P00"/>
        <w:spacing w:before="72"/>
        <w:ind w:left="0" w:right="1134"/>
        <w:rPr>
          <w:rStyle w:val="default"/>
          <w:rFonts w:cs="FrankRuehl" w:hint="cs"/>
          <w:rtl/>
        </w:rPr>
      </w:pPr>
    </w:p>
    <w:p w14:paraId="2331961A" w14:textId="77777777" w:rsidR="00726B4A" w:rsidRDefault="00726B4A">
      <w:pPr>
        <w:pStyle w:val="P00"/>
        <w:tabs>
          <w:tab w:val="clear" w:pos="624"/>
          <w:tab w:val="clear" w:pos="1021"/>
          <w:tab w:val="clear" w:pos="1474"/>
          <w:tab w:val="clear" w:pos="1928"/>
          <w:tab w:val="clear" w:pos="2381"/>
          <w:tab w:val="clear" w:pos="2835"/>
          <w:tab w:val="clear" w:pos="6259"/>
          <w:tab w:val="center" w:pos="5670"/>
        </w:tabs>
        <w:spacing w:before="72"/>
        <w:ind w:left="0" w:right="1134"/>
        <w:rPr>
          <w:sz w:val="26"/>
          <w:rtl/>
        </w:rPr>
      </w:pPr>
      <w:r>
        <w:rPr>
          <w:rStyle w:val="default"/>
          <w:rFonts w:cs="FrankRuehl" w:hint="cs"/>
          <w:rtl/>
        </w:rPr>
        <w:t>י"ז בטבת התשס"ג (22 בדצמבר 2002)</w:t>
      </w:r>
      <w:r>
        <w:rPr>
          <w:rStyle w:val="default"/>
          <w:rFonts w:cs="FrankRuehl" w:hint="cs"/>
          <w:rtl/>
        </w:rPr>
        <w:tab/>
      </w:r>
      <w:r>
        <w:rPr>
          <w:rFonts w:hint="cs"/>
          <w:spacing w:val="30"/>
          <w:sz w:val="26"/>
          <w:rtl/>
        </w:rPr>
        <w:t>סילבן שלום</w:t>
      </w:r>
    </w:p>
    <w:p w14:paraId="4058193E" w14:textId="77777777" w:rsidR="00726B4A" w:rsidRDefault="00726B4A">
      <w:pPr>
        <w:pStyle w:val="sig-1"/>
        <w:widowControl/>
        <w:tabs>
          <w:tab w:val="clear" w:pos="851"/>
          <w:tab w:val="clear" w:pos="2835"/>
          <w:tab w:val="clear" w:pos="4820"/>
          <w:tab w:val="center" w:pos="5670"/>
        </w:tabs>
        <w:ind w:left="0" w:right="1134"/>
        <w:rPr>
          <w:rFonts w:hint="cs"/>
          <w:rtl/>
        </w:rPr>
      </w:pPr>
      <w:r>
        <w:rPr>
          <w:rtl/>
        </w:rPr>
        <w:tab/>
      </w:r>
      <w:r>
        <w:rPr>
          <w:rFonts w:hint="cs"/>
          <w:rtl/>
        </w:rPr>
        <w:t>שר האוצר</w:t>
      </w:r>
    </w:p>
    <w:p w14:paraId="0ECD4967" w14:textId="77777777" w:rsidR="0041249D" w:rsidRPr="0041249D" w:rsidRDefault="0041249D" w:rsidP="0041249D">
      <w:pPr>
        <w:pStyle w:val="P00"/>
        <w:spacing w:before="72"/>
        <w:ind w:left="0" w:right="1134"/>
        <w:rPr>
          <w:rStyle w:val="default"/>
          <w:rFonts w:cs="FrankRuehl" w:hint="cs"/>
          <w:rtl/>
        </w:rPr>
      </w:pPr>
    </w:p>
    <w:p w14:paraId="74859AC7" w14:textId="77777777" w:rsidR="0041249D" w:rsidRPr="0041249D" w:rsidRDefault="0041249D" w:rsidP="0041249D">
      <w:pPr>
        <w:pStyle w:val="P00"/>
        <w:spacing w:before="72"/>
        <w:ind w:left="0" w:right="1134"/>
        <w:rPr>
          <w:rStyle w:val="default"/>
          <w:rFonts w:cs="FrankRuehl" w:hint="cs"/>
          <w:rtl/>
        </w:rPr>
      </w:pPr>
    </w:p>
    <w:p w14:paraId="448FC47F" w14:textId="77777777" w:rsidR="0041249D" w:rsidRPr="0041249D" w:rsidRDefault="0041249D" w:rsidP="0041249D">
      <w:pPr>
        <w:pStyle w:val="P00"/>
        <w:spacing w:before="72"/>
        <w:ind w:left="0" w:right="1134"/>
        <w:rPr>
          <w:rStyle w:val="default"/>
          <w:rFonts w:cs="FrankRuehl"/>
          <w:rtl/>
        </w:rPr>
      </w:pPr>
    </w:p>
    <w:sectPr w:rsidR="0041249D" w:rsidRPr="0041249D">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72D38" w14:textId="77777777" w:rsidR="009F5BCB" w:rsidRDefault="009F5BCB">
      <w:r>
        <w:separator/>
      </w:r>
    </w:p>
  </w:endnote>
  <w:endnote w:type="continuationSeparator" w:id="0">
    <w:p w14:paraId="0B633C68" w14:textId="77777777" w:rsidR="009F5BCB" w:rsidRDefault="009F5B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78A77" w14:textId="77777777" w:rsidR="00726B4A" w:rsidRDefault="00726B4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0B7C23D" w14:textId="77777777" w:rsidR="00726B4A" w:rsidRDefault="00726B4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4A34AD1" w14:textId="77777777" w:rsidR="00726B4A" w:rsidRDefault="00726B4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4146B">
      <w:rPr>
        <w:rFonts w:cs="TopType Jerushalmi"/>
        <w:noProof/>
        <w:color w:val="000000"/>
        <w:sz w:val="14"/>
        <w:szCs w:val="14"/>
      </w:rPr>
      <w:t>Z:\000000000000-law\yael\08-10-12\999_088.doc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A58E1" w14:textId="77777777" w:rsidR="00726B4A" w:rsidRDefault="00726B4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92529">
      <w:rPr>
        <w:rFonts w:hAnsi="FrankRuehl" w:cs="FrankRuehl"/>
        <w:noProof/>
        <w:sz w:val="24"/>
        <w:szCs w:val="24"/>
        <w:rtl/>
      </w:rPr>
      <w:t>2</w:t>
    </w:r>
    <w:r>
      <w:rPr>
        <w:rFonts w:hAnsi="FrankRuehl" w:cs="FrankRuehl"/>
        <w:sz w:val="24"/>
        <w:szCs w:val="24"/>
        <w:rtl/>
      </w:rPr>
      <w:fldChar w:fldCharType="end"/>
    </w:r>
  </w:p>
  <w:p w14:paraId="76608933" w14:textId="77777777" w:rsidR="00726B4A" w:rsidRDefault="00726B4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07C6515" w14:textId="77777777" w:rsidR="00726B4A" w:rsidRDefault="00726B4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4146B">
      <w:rPr>
        <w:rFonts w:cs="TopType Jerushalmi"/>
        <w:noProof/>
        <w:color w:val="000000"/>
        <w:sz w:val="14"/>
        <w:szCs w:val="14"/>
      </w:rPr>
      <w:t>Z:\000000000000-law\yael\08-10-12\999_088.doc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F2396" w14:textId="77777777" w:rsidR="009F5BCB" w:rsidRDefault="009F5BCB" w:rsidP="0041249D">
      <w:pPr>
        <w:spacing w:before="60" w:line="240" w:lineRule="auto"/>
        <w:ind w:right="1134"/>
      </w:pPr>
      <w:r>
        <w:separator/>
      </w:r>
    </w:p>
  </w:footnote>
  <w:footnote w:type="continuationSeparator" w:id="0">
    <w:p w14:paraId="3FE5AB8E" w14:textId="77777777" w:rsidR="009F5BCB" w:rsidRDefault="009F5BCB">
      <w:r>
        <w:continuationSeparator/>
      </w:r>
    </w:p>
  </w:footnote>
  <w:footnote w:id="1">
    <w:p w14:paraId="46244184" w14:textId="77777777" w:rsidR="0041249D" w:rsidRDefault="0041249D" w:rsidP="0041249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פורסם </w:t>
      </w:r>
      <w:hyperlink r:id="rId1" w:history="1">
        <w:r w:rsidRPr="00DB7FBD">
          <w:rPr>
            <w:rStyle w:val="Hyperlink"/>
            <w:rFonts w:hint="cs"/>
            <w:sz w:val="20"/>
            <w:rtl/>
          </w:rPr>
          <w:t>ק"ת תשס"ג מס' 6218</w:t>
        </w:r>
      </w:hyperlink>
      <w:r>
        <w:rPr>
          <w:rFonts w:hint="cs"/>
          <w:sz w:val="20"/>
          <w:rtl/>
        </w:rPr>
        <w:t xml:space="preserve"> מיום 31.12.2002 עמ' 390.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4A039" w14:textId="77777777" w:rsidR="00726B4A" w:rsidRDefault="00726B4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המים (היטלי הפקה), תש"ס- 2000</w:t>
    </w:r>
  </w:p>
  <w:p w14:paraId="46D35BC9" w14:textId="77777777" w:rsidR="00726B4A" w:rsidRDefault="00726B4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57506E3" w14:textId="77777777" w:rsidR="00726B4A" w:rsidRDefault="00726B4A">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5C408" w14:textId="77777777" w:rsidR="00726B4A" w:rsidRDefault="00726B4A">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 xml:space="preserve">צו מס הכנסה (קביעת תשלומים ששולמו לבעל יחידה בקרן נאמנות כהכנסה), </w:t>
    </w:r>
    <w:r>
      <w:rPr>
        <w:rFonts w:hAnsi="FrankRuehl" w:cs="FrankRuehl"/>
        <w:color w:val="000000"/>
        <w:sz w:val="28"/>
        <w:szCs w:val="28"/>
        <w:rtl/>
      </w:rPr>
      <w:br/>
    </w:r>
    <w:r>
      <w:rPr>
        <w:rFonts w:hAnsi="FrankRuehl" w:cs="FrankRuehl" w:hint="cs"/>
        <w:color w:val="000000"/>
        <w:sz w:val="28"/>
        <w:szCs w:val="28"/>
        <w:rtl/>
      </w:rPr>
      <w:t>תשס"ג-2002</w:t>
    </w:r>
  </w:p>
  <w:p w14:paraId="6F0E3042" w14:textId="77777777" w:rsidR="00726B4A" w:rsidRDefault="00726B4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E5E4D83" w14:textId="77777777" w:rsidR="00726B4A" w:rsidRDefault="00726B4A">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1mm"/>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B7FBD"/>
    <w:rsid w:val="0004146B"/>
    <w:rsid w:val="00157227"/>
    <w:rsid w:val="00405C1E"/>
    <w:rsid w:val="0041249D"/>
    <w:rsid w:val="005710E7"/>
    <w:rsid w:val="005E61AC"/>
    <w:rsid w:val="00726B4A"/>
    <w:rsid w:val="009F5BCB"/>
    <w:rsid w:val="00C92529"/>
    <w:rsid w:val="00D52908"/>
    <w:rsid w:val="00DB7FBD"/>
    <w:rsid w:val="00F7750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1mm"/>
    </o:shapedefaults>
    <o:shapelayout v:ext="edit">
      <o:idmap v:ext="edit" data="1"/>
    </o:shapelayout>
  </w:shapeDefaults>
  <w:decimalSymbol w:val="."/>
  <w:listSeparator w:val=","/>
  <w14:docId w14:val="0E24D8AD"/>
  <w15:chartTrackingRefBased/>
  <w15:docId w15:val="{B120E4AA-AE00-479F-9E31-9E9213D46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3">
    <w:name w:val="P03"/>
    <w:basedOn w:val="P00"/>
    <w:pPr>
      <w:ind w:right="1474" w:hanging="147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paragraph" w:styleId="2">
    <w:name w:val="Body Text 2"/>
    <w:basedOn w:val="a"/>
    <w:pPr>
      <w:spacing w:line="160" w:lineRule="exact"/>
      <w:jc w:val="left"/>
    </w:pPr>
    <w:rPr>
      <w:rFonts w:cs="Miriam"/>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21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פרק 235</vt:lpstr>
    </vt:vector>
  </TitlesOfParts>
  <Company/>
  <LinksUpToDate>false</LinksUpToDate>
  <CharactersWithSpaces>1644</CharactersWithSpaces>
  <SharedDoc>false</SharedDoc>
  <HLinks>
    <vt:vector size="24" baseType="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8257538</vt:i4>
      </vt:variant>
      <vt:variant>
        <vt:i4>0</vt:i4>
      </vt:variant>
      <vt:variant>
        <vt:i4>0</vt:i4>
      </vt:variant>
      <vt:variant>
        <vt:i4>5</vt:i4>
      </vt:variant>
      <vt:variant>
        <vt:lpwstr>http://www.nevo.co.il/Law_word/law06/TAK-6218.pdf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235</dc:title>
  <dc:subject/>
  <dc:creator>hofit</dc:creator>
  <cp:keywords/>
  <dc:description/>
  <cp:lastModifiedBy>Shimon Doodkin</cp:lastModifiedBy>
  <cp:revision>2</cp:revision>
  <dcterms:created xsi:type="dcterms:W3CDTF">2023-06-05T19:23:00Z</dcterms:created>
  <dcterms:modified xsi:type="dcterms:W3CDTF">2023-06-05T19:23:00Z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צו מס הכנסה (קביעת תשלומים ששולמו לבעל יחידה בקרן נאמנות כהכנסה), תשס"ג-2002</vt:lpwstr>
  </property>
  <property fmtid="{D5CDD505-2E9C-101B-9397-08002B2CF9AE}" pid="4" name="LAWNUMBER">
    <vt:lpwstr>0088</vt:lpwstr>
  </property>
  <property fmtid="{D5CDD505-2E9C-101B-9397-08002B2CF9AE}" pid="5" name="TYPE">
    <vt:lpwstr>01</vt:lpwstr>
  </property>
  <property fmtid="{D5CDD505-2E9C-101B-9397-08002B2CF9AE}" pid="6" name="NOSE11">
    <vt:lpwstr>מסים</vt:lpwstr>
  </property>
  <property fmtid="{D5CDD505-2E9C-101B-9397-08002B2CF9AE}" pid="7" name="NOSE21">
    <vt:lpwstr>מס הכנסה</vt:lpwstr>
  </property>
  <property fmtid="{D5CDD505-2E9C-101B-9397-08002B2CF9AE}" pid="8" name="NOSE31">
    <vt:lpwstr>קביעות וכללים</vt:lpwstr>
  </property>
  <property fmtid="{D5CDD505-2E9C-101B-9397-08002B2CF9AE}" pid="9" name="NOSE41">
    <vt:lpwstr>קביעה כהכנסה</vt:lpwstr>
  </property>
  <property fmtid="{D5CDD505-2E9C-101B-9397-08002B2CF9AE}" pid="10" name="NOSE12">
    <vt:lpwstr>מסים</vt:lpwstr>
  </property>
  <property fmtid="{D5CDD505-2E9C-101B-9397-08002B2CF9AE}" pid="11" name="NOSE22">
    <vt:lpwstr>מס הכנסה</vt:lpwstr>
  </property>
  <property fmtid="{D5CDD505-2E9C-101B-9397-08002B2CF9AE}" pid="12" name="NOSE32">
    <vt:lpwstr>קרן נאמנות</vt:lpwstr>
  </property>
  <property fmtid="{D5CDD505-2E9C-101B-9397-08002B2CF9AE}" pid="13" name="NOSE42">
    <vt:lpwstr/>
  </property>
  <property fmtid="{D5CDD505-2E9C-101B-9397-08002B2CF9AE}" pid="14" name="NOSE13">
    <vt:lpwstr>משפט פרטי וכלכלה</vt:lpwstr>
  </property>
  <property fmtid="{D5CDD505-2E9C-101B-9397-08002B2CF9AE}" pid="15" name="NOSE23">
    <vt:lpwstr>תאגידים וניירות ערך</vt:lpwstr>
  </property>
  <property fmtid="{D5CDD505-2E9C-101B-9397-08002B2CF9AE}" pid="16" name="NOSE33">
    <vt:lpwstr>השק' משותפות בנאמנות</vt:lpwstr>
  </property>
  <property fmtid="{D5CDD505-2E9C-101B-9397-08002B2CF9AE}" pid="17" name="NOSE43">
    <vt:lpwstr/>
  </property>
  <property fmtid="{D5CDD505-2E9C-101B-9397-08002B2CF9AE}" pid="18" name="NOSE14">
    <vt:lpwstr>משפט פרטי וכלכלה</vt:lpwstr>
  </property>
  <property fmtid="{D5CDD505-2E9C-101B-9397-08002B2CF9AE}" pid="19" name="NOSE24">
    <vt:lpwstr>כספים</vt:lpwstr>
  </property>
  <property fmtid="{D5CDD505-2E9C-101B-9397-08002B2CF9AE}" pid="20" name="NOSE34">
    <vt:lpwstr>השקעות </vt:lpwstr>
  </property>
  <property fmtid="{D5CDD505-2E9C-101B-9397-08002B2CF9AE}" pid="21" name="NOSE44">
    <vt:lpwstr>השק' משותפות בנאמנות</vt:lpwstr>
  </property>
  <property fmtid="{D5CDD505-2E9C-101B-9397-08002B2CF9AE}" pid="22" name="NOSE15">
    <vt:lpwstr>משפט פרטי וכלכלה</vt:lpwstr>
  </property>
  <property fmtid="{D5CDD505-2E9C-101B-9397-08002B2CF9AE}" pid="23" name="NOSE25">
    <vt:lpwstr>חיובים</vt:lpwstr>
  </property>
  <property fmtid="{D5CDD505-2E9C-101B-9397-08002B2CF9AE}" pid="24" name="NOSE35">
    <vt:lpwstr>נאמנות</vt:lpwstr>
  </property>
  <property fmtid="{D5CDD505-2E9C-101B-9397-08002B2CF9AE}" pid="25" name="NOSE45">
    <vt:lpwstr>השק' משותפות בנאמנות</vt:lpwstr>
  </property>
  <property fmtid="{D5CDD505-2E9C-101B-9397-08002B2CF9AE}" pid="26" name="NOSE16">
    <vt:lpwstr/>
  </property>
  <property fmtid="{D5CDD505-2E9C-101B-9397-08002B2CF9AE}" pid="27" name="NOSE26">
    <vt:lpwstr/>
  </property>
  <property fmtid="{D5CDD505-2E9C-101B-9397-08002B2CF9AE}" pid="28" name="NOSE36">
    <vt:lpwstr/>
  </property>
  <property fmtid="{D5CDD505-2E9C-101B-9397-08002B2CF9AE}" pid="29" name="NOSE46">
    <vt:lpwstr/>
  </property>
  <property fmtid="{D5CDD505-2E9C-101B-9397-08002B2CF9AE}" pid="30" name="NOSE17">
    <vt:lpwstr/>
  </property>
  <property fmtid="{D5CDD505-2E9C-101B-9397-08002B2CF9AE}" pid="31" name="NOSE27">
    <vt:lpwstr/>
  </property>
  <property fmtid="{D5CDD505-2E9C-101B-9397-08002B2CF9AE}" pid="32" name="NOSE37">
    <vt:lpwstr/>
  </property>
  <property fmtid="{D5CDD505-2E9C-101B-9397-08002B2CF9AE}" pid="33" name="NOSE47">
    <vt:lpwstr/>
  </property>
  <property fmtid="{D5CDD505-2E9C-101B-9397-08002B2CF9AE}" pid="34" name="NOSE18">
    <vt:lpwstr/>
  </property>
  <property fmtid="{D5CDD505-2E9C-101B-9397-08002B2CF9AE}" pid="35" name="NOSE28">
    <vt:lpwstr/>
  </property>
  <property fmtid="{D5CDD505-2E9C-101B-9397-08002B2CF9AE}" pid="36" name="NOSE38">
    <vt:lpwstr/>
  </property>
  <property fmtid="{D5CDD505-2E9C-101B-9397-08002B2CF9AE}" pid="37" name="NOSE48">
    <vt:lpwstr/>
  </property>
  <property fmtid="{D5CDD505-2E9C-101B-9397-08002B2CF9AE}" pid="38" name="NOSE19">
    <vt:lpwstr/>
  </property>
  <property fmtid="{D5CDD505-2E9C-101B-9397-08002B2CF9AE}" pid="39" name="NOSE29">
    <vt:lpwstr/>
  </property>
  <property fmtid="{D5CDD505-2E9C-101B-9397-08002B2CF9AE}" pid="40" name="NOSE39">
    <vt:lpwstr/>
  </property>
  <property fmtid="{D5CDD505-2E9C-101B-9397-08002B2CF9AE}" pid="41" name="NOSE49">
    <vt:lpwstr/>
  </property>
  <property fmtid="{D5CDD505-2E9C-101B-9397-08002B2CF9AE}" pid="42" name="NOSE110">
    <vt:lpwstr/>
  </property>
  <property fmtid="{D5CDD505-2E9C-101B-9397-08002B2CF9AE}" pid="43" name="NOSE210">
    <vt:lpwstr/>
  </property>
  <property fmtid="{D5CDD505-2E9C-101B-9397-08002B2CF9AE}" pid="44" name="NOSE310">
    <vt:lpwstr/>
  </property>
  <property fmtid="{D5CDD505-2E9C-101B-9397-08002B2CF9AE}" pid="45" name="NOSE410">
    <vt:lpwstr/>
  </property>
  <property fmtid="{D5CDD505-2E9C-101B-9397-08002B2CF9AE}" pid="46" name="MEKOR_NAME1">
    <vt:lpwstr>פקודת מס הכנסה </vt:lpwstr>
  </property>
  <property fmtid="{D5CDD505-2E9C-101B-9397-08002B2CF9AE}" pid="47" name="MEKOR_SAIF1">
    <vt:lpwstr>164X</vt:lpwstr>
  </property>
</Properties>
</file>