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8152A" w14:textId="77777777" w:rsidR="00CA1F53" w:rsidRDefault="00CA1F53" w:rsidP="00CA1F53">
      <w:pPr>
        <w:pStyle w:val="big-header"/>
        <w:ind w:left="0" w:right="1134"/>
        <w:rPr>
          <w:rFonts w:cs="FrankRuehl"/>
          <w:sz w:val="32"/>
          <w:rtl/>
        </w:rPr>
      </w:pPr>
      <w:r>
        <w:rPr>
          <w:rFonts w:cs="FrankRuehl"/>
          <w:sz w:val="32"/>
          <w:rtl/>
        </w:rPr>
        <w:t>צו מתן רשיונות יבוא, 1939</w:t>
      </w:r>
      <w:r>
        <w:rPr>
          <w:rStyle w:val="a6"/>
          <w:rFonts w:cs="FrankRuehl"/>
          <w:sz w:val="32"/>
          <w:rtl/>
        </w:rPr>
        <w:footnoteReference w:customMarkFollows="1" w:id="1"/>
        <w:t>*</w:t>
      </w:r>
    </w:p>
    <w:tbl>
      <w:tblPr>
        <w:bidiVisual/>
        <w:tblW w:w="8333" w:type="dxa"/>
        <w:tblLayout w:type="fixed"/>
        <w:tblLook w:val="0000" w:firstRow="0" w:lastRow="0" w:firstColumn="0" w:lastColumn="0" w:noHBand="0" w:noVBand="0"/>
      </w:tblPr>
      <w:tblGrid>
        <w:gridCol w:w="1247"/>
        <w:gridCol w:w="5669"/>
        <w:gridCol w:w="567"/>
        <w:gridCol w:w="850"/>
      </w:tblGrid>
      <w:tr w:rsidR="00A2747E" w:rsidRPr="00A2747E" w14:paraId="17F696BC" w14:textId="77777777">
        <w:tblPrEx>
          <w:tblCellMar>
            <w:top w:w="0" w:type="dxa"/>
            <w:bottom w:w="0" w:type="dxa"/>
          </w:tblCellMar>
        </w:tblPrEx>
        <w:tc>
          <w:tcPr>
            <w:tcW w:w="1247" w:type="dxa"/>
          </w:tcPr>
          <w:p w14:paraId="50C0D29C" w14:textId="77777777" w:rsidR="00A2747E" w:rsidRPr="00A2747E" w:rsidRDefault="00A2747E" w:rsidP="00A2747E">
            <w:pPr>
              <w:spacing w:line="240" w:lineRule="auto"/>
              <w:jc w:val="left"/>
              <w:rPr>
                <w:rFonts w:cs="Frankruhel" w:hint="cs"/>
                <w:sz w:val="24"/>
                <w:rtl/>
              </w:rPr>
            </w:pPr>
            <w:r>
              <w:rPr>
                <w:sz w:val="24"/>
                <w:rtl/>
              </w:rPr>
              <w:t xml:space="preserve">סעיף 1 </w:t>
            </w:r>
          </w:p>
        </w:tc>
        <w:tc>
          <w:tcPr>
            <w:tcW w:w="5669" w:type="dxa"/>
          </w:tcPr>
          <w:p w14:paraId="105C8929" w14:textId="77777777" w:rsidR="00A2747E" w:rsidRPr="00A2747E" w:rsidRDefault="00A2747E" w:rsidP="00A2747E">
            <w:pPr>
              <w:spacing w:line="240" w:lineRule="auto"/>
              <w:jc w:val="left"/>
              <w:rPr>
                <w:rFonts w:cs="Frankruhel" w:hint="cs"/>
                <w:sz w:val="24"/>
                <w:rtl/>
              </w:rPr>
            </w:pPr>
            <w:r>
              <w:rPr>
                <w:sz w:val="24"/>
                <w:rtl/>
              </w:rPr>
              <w:t>השם</w:t>
            </w:r>
          </w:p>
        </w:tc>
        <w:tc>
          <w:tcPr>
            <w:tcW w:w="567" w:type="dxa"/>
          </w:tcPr>
          <w:p w14:paraId="49069F3E" w14:textId="77777777" w:rsidR="00A2747E" w:rsidRPr="00A2747E" w:rsidRDefault="00A2747E" w:rsidP="00A2747E">
            <w:pPr>
              <w:spacing w:line="240" w:lineRule="auto"/>
              <w:jc w:val="left"/>
              <w:rPr>
                <w:rStyle w:val="Hyperlink"/>
                <w:rFonts w:hint="cs"/>
                <w:rtl/>
              </w:rPr>
            </w:pPr>
            <w:hyperlink w:anchor="Seif1" w:tooltip="השם" w:history="1">
              <w:r w:rsidRPr="00A2747E">
                <w:rPr>
                  <w:rStyle w:val="Hyperlink"/>
                </w:rPr>
                <w:t>Go</w:t>
              </w:r>
            </w:hyperlink>
          </w:p>
        </w:tc>
        <w:tc>
          <w:tcPr>
            <w:tcW w:w="850" w:type="dxa"/>
          </w:tcPr>
          <w:p w14:paraId="1E17F3F4" w14:textId="77777777" w:rsidR="00A2747E" w:rsidRPr="00A2747E" w:rsidRDefault="00A2747E" w:rsidP="00A2747E">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w:instrText>
            </w:r>
            <w:r>
              <w:rPr>
                <w:sz w:val="24"/>
                <w:rtl/>
              </w:rPr>
              <w:instrText xml:space="preserve"> </w:instrText>
            </w:r>
            <w:r>
              <w:rPr>
                <w:rFonts w:cs="Frankruhel"/>
                <w:sz w:val="24"/>
                <w:rtl/>
              </w:rPr>
              <w:fldChar w:fldCharType="separate"/>
            </w:r>
            <w:r>
              <w:rPr>
                <w:noProof/>
                <w:sz w:val="24"/>
                <w:rtl/>
              </w:rPr>
              <w:t>1</w:t>
            </w:r>
            <w:r>
              <w:rPr>
                <w:rFonts w:cs="Frankruhel"/>
                <w:sz w:val="24"/>
                <w:rtl/>
              </w:rPr>
              <w:fldChar w:fldCharType="end"/>
            </w:r>
          </w:p>
        </w:tc>
      </w:tr>
      <w:tr w:rsidR="00A2747E" w:rsidRPr="00A2747E" w14:paraId="1D134A6E" w14:textId="77777777">
        <w:tblPrEx>
          <w:tblCellMar>
            <w:top w:w="0" w:type="dxa"/>
            <w:bottom w:w="0" w:type="dxa"/>
          </w:tblCellMar>
        </w:tblPrEx>
        <w:tc>
          <w:tcPr>
            <w:tcW w:w="1247" w:type="dxa"/>
          </w:tcPr>
          <w:p w14:paraId="6A015B86" w14:textId="77777777" w:rsidR="00A2747E" w:rsidRPr="00A2747E" w:rsidRDefault="00A2747E" w:rsidP="00A2747E">
            <w:pPr>
              <w:spacing w:line="240" w:lineRule="auto"/>
              <w:jc w:val="left"/>
              <w:rPr>
                <w:rFonts w:cs="Frankruhel" w:hint="cs"/>
                <w:sz w:val="24"/>
                <w:rtl/>
              </w:rPr>
            </w:pPr>
            <w:r>
              <w:rPr>
                <w:sz w:val="24"/>
                <w:rtl/>
              </w:rPr>
              <w:t xml:space="preserve">סעיף 2 </w:t>
            </w:r>
          </w:p>
        </w:tc>
        <w:tc>
          <w:tcPr>
            <w:tcW w:w="5669" w:type="dxa"/>
          </w:tcPr>
          <w:p w14:paraId="51210A7B" w14:textId="77777777" w:rsidR="00A2747E" w:rsidRPr="00A2747E" w:rsidRDefault="00A2747E" w:rsidP="00A2747E">
            <w:pPr>
              <w:spacing w:line="240" w:lineRule="auto"/>
              <w:jc w:val="left"/>
              <w:rPr>
                <w:rFonts w:cs="Frankruhel" w:hint="cs"/>
                <w:sz w:val="24"/>
                <w:rtl/>
              </w:rPr>
            </w:pPr>
            <w:r>
              <w:rPr>
                <w:sz w:val="24"/>
                <w:rtl/>
              </w:rPr>
              <w:t>צו 1940</w:t>
            </w:r>
          </w:p>
        </w:tc>
        <w:tc>
          <w:tcPr>
            <w:tcW w:w="567" w:type="dxa"/>
          </w:tcPr>
          <w:p w14:paraId="7B9BF29D" w14:textId="77777777" w:rsidR="00A2747E" w:rsidRPr="00A2747E" w:rsidRDefault="00A2747E" w:rsidP="00A2747E">
            <w:pPr>
              <w:spacing w:line="240" w:lineRule="auto"/>
              <w:jc w:val="left"/>
              <w:rPr>
                <w:rStyle w:val="Hyperlink"/>
                <w:rFonts w:hint="cs"/>
                <w:rtl/>
              </w:rPr>
            </w:pPr>
            <w:hyperlink w:anchor="Seif2" w:tooltip="צו 1940" w:history="1">
              <w:r w:rsidRPr="00A2747E">
                <w:rPr>
                  <w:rStyle w:val="Hyperlink"/>
                </w:rPr>
                <w:t>Go</w:t>
              </w:r>
            </w:hyperlink>
          </w:p>
        </w:tc>
        <w:tc>
          <w:tcPr>
            <w:tcW w:w="850" w:type="dxa"/>
          </w:tcPr>
          <w:p w14:paraId="28B75A63" w14:textId="77777777" w:rsidR="00A2747E" w:rsidRPr="00A2747E" w:rsidRDefault="00A2747E" w:rsidP="00A2747E">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w:instrText>
            </w:r>
            <w:r>
              <w:rPr>
                <w:sz w:val="24"/>
                <w:rtl/>
              </w:rPr>
              <w:instrText xml:space="preserve"> </w:instrText>
            </w:r>
            <w:r>
              <w:rPr>
                <w:rFonts w:cs="Frankruhel"/>
                <w:sz w:val="24"/>
                <w:rtl/>
              </w:rPr>
              <w:fldChar w:fldCharType="separate"/>
            </w:r>
            <w:r>
              <w:rPr>
                <w:noProof/>
                <w:sz w:val="24"/>
                <w:rtl/>
              </w:rPr>
              <w:t>1</w:t>
            </w:r>
            <w:r>
              <w:rPr>
                <w:rFonts w:cs="Frankruhel"/>
                <w:sz w:val="24"/>
                <w:rtl/>
              </w:rPr>
              <w:fldChar w:fldCharType="end"/>
            </w:r>
          </w:p>
        </w:tc>
      </w:tr>
      <w:tr w:rsidR="00A2747E" w:rsidRPr="00A2747E" w14:paraId="0F833DE9" w14:textId="77777777">
        <w:tblPrEx>
          <w:tblCellMar>
            <w:top w:w="0" w:type="dxa"/>
            <w:bottom w:w="0" w:type="dxa"/>
          </w:tblCellMar>
        </w:tblPrEx>
        <w:tc>
          <w:tcPr>
            <w:tcW w:w="1247" w:type="dxa"/>
          </w:tcPr>
          <w:p w14:paraId="081B15DC" w14:textId="77777777" w:rsidR="00A2747E" w:rsidRPr="00A2747E" w:rsidRDefault="00A2747E" w:rsidP="00A2747E">
            <w:pPr>
              <w:spacing w:line="240" w:lineRule="auto"/>
              <w:jc w:val="left"/>
              <w:rPr>
                <w:rFonts w:cs="Frankruhel" w:hint="cs"/>
                <w:sz w:val="24"/>
                <w:rtl/>
              </w:rPr>
            </w:pPr>
            <w:r>
              <w:rPr>
                <w:sz w:val="24"/>
                <w:rtl/>
              </w:rPr>
              <w:t xml:space="preserve">סעיף 3 </w:t>
            </w:r>
          </w:p>
        </w:tc>
        <w:tc>
          <w:tcPr>
            <w:tcW w:w="5669" w:type="dxa"/>
          </w:tcPr>
          <w:p w14:paraId="12225FBB" w14:textId="77777777" w:rsidR="00A2747E" w:rsidRPr="00A2747E" w:rsidRDefault="00A2747E" w:rsidP="00A2747E">
            <w:pPr>
              <w:spacing w:line="240" w:lineRule="auto"/>
              <w:jc w:val="left"/>
              <w:rPr>
                <w:rFonts w:cs="Frankruhel" w:hint="cs"/>
                <w:sz w:val="24"/>
                <w:rtl/>
              </w:rPr>
            </w:pPr>
            <w:r>
              <w:rPr>
                <w:sz w:val="24"/>
                <w:rtl/>
              </w:rPr>
              <w:t>צו</w:t>
            </w:r>
          </w:p>
        </w:tc>
        <w:tc>
          <w:tcPr>
            <w:tcW w:w="567" w:type="dxa"/>
          </w:tcPr>
          <w:p w14:paraId="4BBF555C" w14:textId="77777777" w:rsidR="00A2747E" w:rsidRPr="00A2747E" w:rsidRDefault="00A2747E" w:rsidP="00A2747E">
            <w:pPr>
              <w:spacing w:line="240" w:lineRule="auto"/>
              <w:jc w:val="left"/>
              <w:rPr>
                <w:rStyle w:val="Hyperlink"/>
                <w:rFonts w:hint="cs"/>
                <w:rtl/>
              </w:rPr>
            </w:pPr>
            <w:hyperlink w:anchor="Seif3" w:tooltip="צו" w:history="1">
              <w:r w:rsidRPr="00A2747E">
                <w:rPr>
                  <w:rStyle w:val="Hyperlink"/>
                </w:rPr>
                <w:t>Go</w:t>
              </w:r>
            </w:hyperlink>
          </w:p>
        </w:tc>
        <w:tc>
          <w:tcPr>
            <w:tcW w:w="850" w:type="dxa"/>
          </w:tcPr>
          <w:p w14:paraId="063A8EC1" w14:textId="77777777" w:rsidR="00A2747E" w:rsidRPr="00A2747E" w:rsidRDefault="00A2747E" w:rsidP="00A2747E">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w:instrText>
            </w:r>
            <w:r>
              <w:rPr>
                <w:sz w:val="24"/>
                <w:rtl/>
              </w:rPr>
              <w:instrText xml:space="preserve"> </w:instrText>
            </w:r>
            <w:r>
              <w:rPr>
                <w:rFonts w:cs="Frankruhel"/>
                <w:sz w:val="24"/>
                <w:rtl/>
              </w:rPr>
              <w:fldChar w:fldCharType="separate"/>
            </w:r>
            <w:r>
              <w:rPr>
                <w:noProof/>
                <w:sz w:val="24"/>
                <w:rtl/>
              </w:rPr>
              <w:t>1</w:t>
            </w:r>
            <w:r>
              <w:rPr>
                <w:rFonts w:cs="Frankruhel"/>
                <w:sz w:val="24"/>
                <w:rtl/>
              </w:rPr>
              <w:fldChar w:fldCharType="end"/>
            </w:r>
          </w:p>
        </w:tc>
      </w:tr>
      <w:tr w:rsidR="00A2747E" w:rsidRPr="00A2747E" w14:paraId="3D28786A" w14:textId="77777777">
        <w:tblPrEx>
          <w:tblCellMar>
            <w:top w:w="0" w:type="dxa"/>
            <w:bottom w:w="0" w:type="dxa"/>
          </w:tblCellMar>
        </w:tblPrEx>
        <w:tc>
          <w:tcPr>
            <w:tcW w:w="1247" w:type="dxa"/>
          </w:tcPr>
          <w:p w14:paraId="38EAC52C" w14:textId="77777777" w:rsidR="00A2747E" w:rsidRPr="00A2747E" w:rsidRDefault="00A2747E" w:rsidP="00A2747E">
            <w:pPr>
              <w:spacing w:line="240" w:lineRule="auto"/>
              <w:jc w:val="left"/>
              <w:rPr>
                <w:rFonts w:cs="Frankruhel" w:hint="cs"/>
                <w:sz w:val="24"/>
                <w:rtl/>
              </w:rPr>
            </w:pPr>
            <w:r>
              <w:rPr>
                <w:sz w:val="24"/>
                <w:rtl/>
              </w:rPr>
              <w:t xml:space="preserve">סעיף 5 </w:t>
            </w:r>
          </w:p>
        </w:tc>
        <w:tc>
          <w:tcPr>
            <w:tcW w:w="5669" w:type="dxa"/>
          </w:tcPr>
          <w:p w14:paraId="219B054C" w14:textId="77777777" w:rsidR="00A2747E" w:rsidRPr="00A2747E" w:rsidRDefault="00A2747E" w:rsidP="00A2747E">
            <w:pPr>
              <w:spacing w:line="240" w:lineRule="auto"/>
              <w:jc w:val="left"/>
              <w:rPr>
                <w:rFonts w:cs="Frankruhel" w:hint="cs"/>
                <w:sz w:val="24"/>
                <w:rtl/>
              </w:rPr>
            </w:pPr>
            <w:r>
              <w:rPr>
                <w:sz w:val="24"/>
                <w:rtl/>
              </w:rPr>
              <w:t>צו 1943</w:t>
            </w:r>
          </w:p>
        </w:tc>
        <w:tc>
          <w:tcPr>
            <w:tcW w:w="567" w:type="dxa"/>
          </w:tcPr>
          <w:p w14:paraId="5327060E" w14:textId="77777777" w:rsidR="00A2747E" w:rsidRPr="00A2747E" w:rsidRDefault="00A2747E" w:rsidP="00A2747E">
            <w:pPr>
              <w:spacing w:line="240" w:lineRule="auto"/>
              <w:jc w:val="left"/>
              <w:rPr>
                <w:rStyle w:val="Hyperlink"/>
                <w:rFonts w:hint="cs"/>
                <w:rtl/>
              </w:rPr>
            </w:pPr>
            <w:hyperlink w:anchor="Seif4" w:tooltip="צו 1943" w:history="1">
              <w:r w:rsidRPr="00A2747E">
                <w:rPr>
                  <w:rStyle w:val="Hyperlink"/>
                </w:rPr>
                <w:t>Go</w:t>
              </w:r>
            </w:hyperlink>
          </w:p>
        </w:tc>
        <w:tc>
          <w:tcPr>
            <w:tcW w:w="850" w:type="dxa"/>
          </w:tcPr>
          <w:p w14:paraId="1B2031F0" w14:textId="77777777" w:rsidR="00A2747E" w:rsidRPr="00A2747E" w:rsidRDefault="00A2747E" w:rsidP="00A2747E">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bl>
    <w:p w14:paraId="54A04523" w14:textId="77777777" w:rsidR="002824BD" w:rsidRDefault="002824BD" w:rsidP="002824BD">
      <w:pPr>
        <w:pStyle w:val="big-header"/>
        <w:ind w:left="0" w:right="1134"/>
        <w:rPr>
          <w:rFonts w:cs="FrankRuehl"/>
          <w:color w:val="008000"/>
        </w:rPr>
      </w:pPr>
      <w:r w:rsidRPr="006E674C">
        <w:rPr>
          <w:rFonts w:cs="FrankRuehl" w:hint="cs"/>
          <w:color w:val="008000"/>
          <w:rtl/>
        </w:rPr>
        <w:t>רבדים בחקיקה</w:t>
      </w:r>
    </w:p>
    <w:p w14:paraId="23892642" w14:textId="77777777" w:rsidR="00DC355E" w:rsidRDefault="00DC355E" w:rsidP="00DC355E">
      <w:pPr>
        <w:spacing w:line="320" w:lineRule="auto"/>
        <w:jc w:val="left"/>
        <w:rPr>
          <w:rtl/>
        </w:rPr>
      </w:pPr>
    </w:p>
    <w:p w14:paraId="5F8D83F2" w14:textId="77777777" w:rsidR="00DC355E" w:rsidRDefault="00DC355E" w:rsidP="00DC355E">
      <w:pPr>
        <w:spacing w:line="320" w:lineRule="auto"/>
        <w:jc w:val="left"/>
        <w:rPr>
          <w:rFonts w:cs="FrankRuehl"/>
          <w:szCs w:val="26"/>
        </w:rPr>
      </w:pPr>
      <w:r w:rsidRPr="00DC355E">
        <w:rPr>
          <w:rFonts w:cs="Miriam"/>
          <w:szCs w:val="22"/>
          <w:rtl/>
        </w:rPr>
        <w:t>משפט פרטי וכלכלה</w:t>
      </w:r>
      <w:r w:rsidRPr="00DC355E">
        <w:rPr>
          <w:rFonts w:cs="FrankRuehl"/>
          <w:szCs w:val="26"/>
          <w:rtl/>
        </w:rPr>
        <w:t xml:space="preserve"> – מסחר  – יבוא  – מיסוי, מכס והיטלים</w:t>
      </w:r>
    </w:p>
    <w:p w14:paraId="530BD02D" w14:textId="77777777" w:rsidR="00DC355E" w:rsidRPr="00DC355E" w:rsidRDefault="00DC355E" w:rsidP="00DC355E">
      <w:pPr>
        <w:spacing w:line="320" w:lineRule="auto"/>
        <w:jc w:val="left"/>
        <w:rPr>
          <w:rFonts w:cs="Miriam"/>
          <w:szCs w:val="22"/>
          <w:rtl/>
        </w:rPr>
      </w:pPr>
    </w:p>
    <w:p w14:paraId="073E3275" w14:textId="77777777" w:rsidR="00690D11" w:rsidRDefault="00690D11">
      <w:pPr>
        <w:ind w:right="1134"/>
        <w:rPr>
          <w:rFonts w:cs="David"/>
          <w:sz w:val="24"/>
          <w:rtl/>
        </w:rPr>
      </w:pPr>
      <w:bookmarkStart w:id="0" w:name="LawPartStart"/>
    </w:p>
    <w:bookmarkEnd w:id="0"/>
    <w:p w14:paraId="78225963" w14:textId="77777777" w:rsidR="00690D11" w:rsidRPr="000F611E" w:rsidRDefault="00690D11">
      <w:pPr>
        <w:pStyle w:val="medium-header"/>
        <w:keepNext w:val="0"/>
        <w:keepLines w:val="0"/>
        <w:ind w:left="0" w:right="1134"/>
        <w:rPr>
          <w:rFonts w:cs="FrankRuehl"/>
          <w:sz w:val="24"/>
          <w:szCs w:val="24"/>
          <w:rtl/>
        </w:rPr>
      </w:pPr>
      <w:r w:rsidRPr="000F611E">
        <w:rPr>
          <w:rFonts w:cs="FrankRuehl"/>
          <w:sz w:val="24"/>
          <w:szCs w:val="24"/>
          <w:rtl/>
        </w:rPr>
        <w:t>(ע</w:t>
      </w:r>
      <w:r w:rsidRPr="000F611E">
        <w:rPr>
          <w:rFonts w:cs="FrankRuehl" w:hint="cs"/>
          <w:sz w:val="24"/>
          <w:szCs w:val="24"/>
          <w:rtl/>
        </w:rPr>
        <w:t>פ"י סעיף 3 לפקודת הסמכויות בענין היבוא, היצוא והמכס (הגנה), 1939)</w:t>
      </w:r>
    </w:p>
    <w:p w14:paraId="58CC3595" w14:textId="77777777" w:rsidR="00690D11" w:rsidRDefault="00690D11">
      <w:pPr>
        <w:pStyle w:val="P00"/>
        <w:spacing w:before="72"/>
        <w:ind w:left="0" w:right="1134"/>
        <w:rPr>
          <w:rStyle w:val="default"/>
          <w:rFonts w:cs="FrankRuehl"/>
          <w:rtl/>
        </w:rPr>
      </w:pPr>
      <w:bookmarkStart w:id="1" w:name="Seif1"/>
      <w:bookmarkEnd w:id="1"/>
      <w:r>
        <w:rPr>
          <w:lang w:val="he-IL"/>
        </w:rPr>
        <w:pict w14:anchorId="0EA98C77">
          <v:rect id="_x0000_s1026" style="position:absolute;left:0;text-align:left;margin-left:464.5pt;margin-top:8.05pt;width:75.05pt;height:13.4pt;z-index:251654144" o:allowincell="f" filled="f" stroked="f" strokecolor="lime" strokeweight=".25pt">
            <v:textbox style="mso-next-textbox:#_x0000_s1026" inset="0,0,0,0">
              <w:txbxContent>
                <w:p w14:paraId="251AF63B" w14:textId="77777777" w:rsidR="00690D11" w:rsidRDefault="00690D11">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1.</w:t>
      </w:r>
      <w:r>
        <w:rPr>
          <w:rStyle w:val="big-number"/>
          <w:rFonts w:cs="Miriam"/>
          <w:rtl/>
        </w:rPr>
        <w:tab/>
      </w:r>
      <w:r>
        <w:rPr>
          <w:rStyle w:val="default"/>
          <w:rFonts w:cs="FrankRuehl"/>
          <w:rtl/>
        </w:rPr>
        <w:t>צו</w:t>
      </w:r>
      <w:r>
        <w:rPr>
          <w:rStyle w:val="default"/>
          <w:rFonts w:cs="FrankRuehl" w:hint="cs"/>
          <w:rtl/>
        </w:rPr>
        <w:t xml:space="preserve"> זה ייקרא צו מתן רשיונות יבוא, 1939.</w:t>
      </w:r>
    </w:p>
    <w:p w14:paraId="2D307078" w14:textId="77777777" w:rsidR="00690D11" w:rsidRDefault="00690D11">
      <w:pPr>
        <w:pStyle w:val="P00"/>
        <w:spacing w:before="72"/>
        <w:ind w:left="0" w:right="1134"/>
        <w:rPr>
          <w:rStyle w:val="default"/>
          <w:rFonts w:cs="FrankRuehl" w:hint="cs"/>
          <w:rtl/>
        </w:rPr>
      </w:pPr>
      <w:bookmarkStart w:id="2" w:name="Seif2"/>
      <w:bookmarkEnd w:id="2"/>
      <w:r>
        <w:rPr>
          <w:lang w:val="he-IL"/>
        </w:rPr>
        <w:pict w14:anchorId="197E666F">
          <v:rect id="_x0000_s1027" style="position:absolute;left:0;text-align:left;margin-left:464.5pt;margin-top:8.05pt;width:75.05pt;height:10.3pt;z-index:251655168" o:allowincell="f" filled="f" stroked="f" strokecolor="lime" strokeweight=".25pt">
            <v:textbox style="mso-next-textbox:#_x0000_s1027" inset="0,0,0,0">
              <w:txbxContent>
                <w:p w14:paraId="3BB1DD00" w14:textId="77777777" w:rsidR="00690D11" w:rsidRDefault="00690D11">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1940</w:t>
                  </w:r>
                </w:p>
              </w:txbxContent>
            </v:textbox>
            <w10:anchorlock/>
          </v:rect>
        </w:pict>
      </w:r>
      <w:r>
        <w:rPr>
          <w:rStyle w:val="big-number"/>
          <w:rFonts w:cs="Miriam"/>
          <w:rtl/>
        </w:rPr>
        <w:t>2.</w:t>
      </w:r>
      <w:r>
        <w:rPr>
          <w:rStyle w:val="big-number"/>
          <w:rFonts w:cs="Miriam"/>
          <w:rtl/>
        </w:rPr>
        <w:tab/>
      </w:r>
      <w:r>
        <w:rPr>
          <w:rStyle w:val="default"/>
          <w:rFonts w:cs="FrankRuehl"/>
          <w:rtl/>
        </w:rPr>
        <w:t>בכ</w:t>
      </w:r>
      <w:r>
        <w:rPr>
          <w:rStyle w:val="default"/>
          <w:rFonts w:cs="FrankRuehl" w:hint="cs"/>
          <w:rtl/>
        </w:rPr>
        <w:t>פוף להוראות צו זה, אסור לייבא כל סחורה לישראל.</w:t>
      </w:r>
    </w:p>
    <w:p w14:paraId="36576F2E" w14:textId="77777777" w:rsidR="00690D11" w:rsidRDefault="00690D11">
      <w:pPr>
        <w:pStyle w:val="P00"/>
        <w:spacing w:before="72"/>
        <w:ind w:left="0" w:right="1134"/>
        <w:rPr>
          <w:rStyle w:val="default"/>
          <w:rFonts w:cs="FrankRuehl" w:hint="cs"/>
          <w:rtl/>
        </w:rPr>
      </w:pPr>
      <w:bookmarkStart w:id="3" w:name="Seif3"/>
      <w:bookmarkEnd w:id="3"/>
      <w:r>
        <w:rPr>
          <w:lang w:val="he-IL"/>
        </w:rPr>
        <w:pict w14:anchorId="212C6274">
          <v:rect id="_x0000_s1028" style="position:absolute;left:0;text-align:left;margin-left:475.65pt;margin-top:8.05pt;width:63.9pt;height:18.35pt;z-index:251656192" o:allowincell="f" filled="f" stroked="f" strokecolor="lime" strokeweight=".25pt">
            <v:textbox style="mso-next-textbox:#_x0000_s1028" inset="0,0,0,0">
              <w:txbxContent>
                <w:p w14:paraId="6AC60DCA" w14:textId="77777777" w:rsidR="000F611E" w:rsidRDefault="00690D11">
                  <w:pPr>
                    <w:spacing w:line="160" w:lineRule="exact"/>
                    <w:jc w:val="left"/>
                    <w:rPr>
                      <w:rFonts w:cs="Miriam" w:hint="cs"/>
                      <w:sz w:val="18"/>
                      <w:szCs w:val="18"/>
                      <w:rtl/>
                    </w:rPr>
                  </w:pPr>
                  <w:r>
                    <w:rPr>
                      <w:rFonts w:cs="Miriam"/>
                      <w:sz w:val="18"/>
                      <w:szCs w:val="18"/>
                      <w:rtl/>
                    </w:rPr>
                    <w:t>צו</w:t>
                  </w:r>
                  <w:r w:rsidR="000F611E">
                    <w:rPr>
                      <w:rFonts w:cs="Miriam" w:hint="cs"/>
                      <w:sz w:val="18"/>
                      <w:szCs w:val="18"/>
                      <w:rtl/>
                    </w:rPr>
                    <w:t xml:space="preserve"> (מס' 3) 1942</w:t>
                  </w:r>
                </w:p>
                <w:p w14:paraId="4B0BF418" w14:textId="77777777" w:rsidR="00690D11" w:rsidRDefault="00690D11">
                  <w:pPr>
                    <w:spacing w:line="160" w:lineRule="exact"/>
                    <w:jc w:val="left"/>
                    <w:rPr>
                      <w:rFonts w:cs="Miriam"/>
                      <w:noProof/>
                      <w:sz w:val="18"/>
                      <w:szCs w:val="18"/>
                      <w:rtl/>
                    </w:rPr>
                  </w:pPr>
                  <w:r>
                    <w:rPr>
                      <w:rFonts w:cs="Miriam" w:hint="cs"/>
                      <w:sz w:val="18"/>
                      <w:szCs w:val="18"/>
                      <w:rtl/>
                    </w:rPr>
                    <w:t>צו תשי"ט</w:t>
                  </w:r>
                  <w:r w:rsidR="000F611E">
                    <w:rPr>
                      <w:rFonts w:cs="Miriam" w:hint="cs"/>
                      <w:sz w:val="18"/>
                      <w:szCs w:val="18"/>
                      <w:rtl/>
                    </w:rPr>
                    <w:t>-</w:t>
                  </w:r>
                  <w:r>
                    <w:rPr>
                      <w:rFonts w:cs="Miriam"/>
                      <w:sz w:val="18"/>
                      <w:szCs w:val="18"/>
                      <w:rtl/>
                    </w:rPr>
                    <w:t>1959</w:t>
                  </w:r>
                </w:p>
              </w:txbxContent>
            </v:textbox>
            <w10:anchorlock/>
          </v:rect>
        </w:pict>
      </w:r>
      <w:r>
        <w:rPr>
          <w:rStyle w:val="big-number"/>
          <w:rFonts w:cs="Miriam"/>
          <w:rtl/>
        </w:rPr>
        <w:t>3.</w:t>
      </w:r>
      <w:r>
        <w:rPr>
          <w:rStyle w:val="big-number"/>
          <w:rFonts w:cs="Miriam"/>
          <w:rtl/>
        </w:rPr>
        <w:tab/>
      </w:r>
      <w:r>
        <w:rPr>
          <w:rStyle w:val="default"/>
          <w:rFonts w:cs="FrankRuehl"/>
          <w:rtl/>
        </w:rPr>
        <w:t>(1)</w:t>
      </w:r>
      <w:r>
        <w:rPr>
          <w:rStyle w:val="default"/>
          <w:rFonts w:cs="FrankRuehl"/>
          <w:rtl/>
        </w:rPr>
        <w:tab/>
        <w:t>ש</w:t>
      </w:r>
      <w:r>
        <w:rPr>
          <w:rStyle w:val="default"/>
          <w:rFonts w:cs="FrankRuehl" w:hint="cs"/>
          <w:rtl/>
        </w:rPr>
        <w:t xml:space="preserve">ום דבר האמור בהוראות דלעיל אין </w:t>
      </w:r>
      <w:r>
        <w:rPr>
          <w:rStyle w:val="default"/>
          <w:rFonts w:cs="FrankRuehl"/>
          <w:rtl/>
        </w:rPr>
        <w:t>לר</w:t>
      </w:r>
      <w:r>
        <w:rPr>
          <w:rStyle w:val="default"/>
          <w:rFonts w:cs="FrankRuehl" w:hint="cs"/>
          <w:rtl/>
        </w:rPr>
        <w:t xml:space="preserve">אותו כאילו הוא בא לאסור </w:t>
      </w:r>
      <w:r w:rsidR="000F611E">
        <w:rPr>
          <w:rStyle w:val="default"/>
          <w:rFonts w:cs="FrankRuehl"/>
          <w:rtl/>
        </w:rPr>
        <w:t>–</w:t>
      </w:r>
    </w:p>
    <w:p w14:paraId="53510B68" w14:textId="77777777" w:rsidR="00690D11" w:rsidRDefault="00690D11">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ת יבואה של כל סחורה עפ"י רשיון שניתן ע"י מנהל המכס והבלו, או כל רשות מוסמכת, ובלבד שימלאו אחר כל התנאים המצורפים לאותו רשיון; או</w:t>
      </w:r>
    </w:p>
    <w:p w14:paraId="672F6A7F" w14:textId="77777777" w:rsidR="00690D11" w:rsidRDefault="00690D11">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ת יבואה של כל סחורה אשר, כפי שהוכח כדי הנחת דעתו של מנהל המכס והבלו, נשלחה לישראל לפני שצ</w:t>
      </w:r>
      <w:r>
        <w:rPr>
          <w:rStyle w:val="default"/>
          <w:rFonts w:cs="FrankRuehl"/>
          <w:rtl/>
        </w:rPr>
        <w:t xml:space="preserve">ו </w:t>
      </w:r>
      <w:r>
        <w:rPr>
          <w:rStyle w:val="default"/>
          <w:rFonts w:cs="FrankRuehl" w:hint="cs"/>
          <w:rtl/>
        </w:rPr>
        <w:t>זה קיבל תוקף.</w:t>
      </w:r>
    </w:p>
    <w:p w14:paraId="2115828C" w14:textId="77777777" w:rsidR="00690D11" w:rsidRDefault="000F611E">
      <w:pPr>
        <w:pStyle w:val="P00"/>
        <w:spacing w:before="72"/>
        <w:ind w:left="0" w:right="1134"/>
        <w:rPr>
          <w:rStyle w:val="default"/>
          <w:rFonts w:cs="FrankRuehl"/>
          <w:rtl/>
        </w:rPr>
      </w:pPr>
      <w:r>
        <w:rPr>
          <w:rFonts w:cs="FrankRuehl"/>
          <w:sz w:val="26"/>
          <w:rtl/>
          <w:lang w:eastAsia="en-US"/>
        </w:rPr>
        <w:pict w14:anchorId="3EC9C379">
          <v:shapetype id="_x0000_t202" coordsize="21600,21600" o:spt="202" path="m,l,21600r21600,l21600,xe">
            <v:stroke joinstyle="miter"/>
            <v:path gradientshapeok="t" o:connecttype="rect"/>
          </v:shapetype>
          <v:shape id="_x0000_s1035" type="#_x0000_t202" style="position:absolute;left:0;text-align:left;margin-left:470.25pt;margin-top:7.1pt;width:1in;height:13pt;z-index:251661312" filled="f" stroked="f">
            <v:textbox inset="1mm,0,1mm,0">
              <w:txbxContent>
                <w:p w14:paraId="1E0E37FA" w14:textId="77777777" w:rsidR="000F611E" w:rsidRDefault="000F611E" w:rsidP="000F611E">
                  <w:pPr>
                    <w:spacing w:line="160" w:lineRule="exact"/>
                    <w:jc w:val="left"/>
                    <w:rPr>
                      <w:rFonts w:cs="Miriam"/>
                      <w:noProof/>
                      <w:sz w:val="18"/>
                      <w:szCs w:val="18"/>
                      <w:rtl/>
                    </w:rPr>
                  </w:pPr>
                  <w:r>
                    <w:rPr>
                      <w:rFonts w:cs="Miriam" w:hint="cs"/>
                      <w:sz w:val="18"/>
                      <w:szCs w:val="18"/>
                      <w:rtl/>
                    </w:rPr>
                    <w:t>צו תשי"ט-</w:t>
                  </w:r>
                  <w:r>
                    <w:rPr>
                      <w:rFonts w:cs="Miriam"/>
                      <w:sz w:val="18"/>
                      <w:szCs w:val="18"/>
                      <w:rtl/>
                    </w:rPr>
                    <w:t>1959</w:t>
                  </w:r>
                </w:p>
              </w:txbxContent>
            </v:textbox>
            <w10:anchorlock/>
          </v:shape>
        </w:pict>
      </w:r>
      <w:r w:rsidR="00690D11">
        <w:rPr>
          <w:rFonts w:cs="FrankRuehl"/>
          <w:sz w:val="26"/>
          <w:rtl/>
        </w:rPr>
        <w:tab/>
      </w:r>
      <w:r w:rsidR="00690D11">
        <w:rPr>
          <w:rStyle w:val="default"/>
          <w:rFonts w:cs="FrankRuehl"/>
          <w:rtl/>
        </w:rPr>
        <w:t>(2)</w:t>
      </w:r>
      <w:r w:rsidR="00690D11">
        <w:rPr>
          <w:rStyle w:val="default"/>
          <w:rFonts w:cs="FrankRuehl"/>
          <w:rtl/>
        </w:rPr>
        <w:tab/>
        <w:t>ה</w:t>
      </w:r>
      <w:r w:rsidR="00690D11">
        <w:rPr>
          <w:rStyle w:val="default"/>
          <w:rFonts w:cs="FrankRuehl" w:hint="cs"/>
          <w:rtl/>
        </w:rPr>
        <w:t>תנאים שמנהל המכס והבלו או רשות מוסמכת רשאים להתנות לפי סעיף קטן (1) יכול שיהיו בנוגע לענינים אלה, כולם או מקצת</w:t>
      </w:r>
      <w:r w:rsidR="00690D11">
        <w:rPr>
          <w:rStyle w:val="default"/>
          <w:rFonts w:cs="FrankRuehl"/>
          <w:rtl/>
        </w:rPr>
        <w:t>ם</w:t>
      </w:r>
      <w:r w:rsidR="00690D11">
        <w:rPr>
          <w:rStyle w:val="default"/>
          <w:rFonts w:cs="FrankRuehl" w:hint="cs"/>
          <w:rtl/>
        </w:rPr>
        <w:t>:</w:t>
      </w:r>
    </w:p>
    <w:p w14:paraId="513E0ABA" w14:textId="77777777" w:rsidR="00690D11" w:rsidRDefault="00690D11">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מויות הטובין, איכותם ומועד ייבואם;</w:t>
      </w:r>
    </w:p>
    <w:p w14:paraId="542E618D" w14:textId="77777777" w:rsidR="00690D11" w:rsidRDefault="00690D11">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קופת תקפו של הרשיון;</w:t>
      </w:r>
    </w:p>
    <w:p w14:paraId="12615237" w14:textId="77777777" w:rsidR="00690D11" w:rsidRDefault="00690D11">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ימון היבוא וביטוחו;</w:t>
      </w:r>
    </w:p>
    <w:p w14:paraId="3A9BC25A" w14:textId="77777777" w:rsidR="00690D11" w:rsidRDefault="00690D11">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בטחת הגעת הטובין המיובאים</w:t>
      </w:r>
      <w:r>
        <w:rPr>
          <w:rStyle w:val="default"/>
          <w:rFonts w:cs="FrankRuehl"/>
          <w:rtl/>
        </w:rPr>
        <w:t xml:space="preserve"> ל</w:t>
      </w:r>
      <w:r>
        <w:rPr>
          <w:rStyle w:val="default"/>
          <w:rFonts w:cs="FrankRuehl" w:hint="cs"/>
          <w:rtl/>
        </w:rPr>
        <w:t>מקום יעודם במועד שייקבע;</w:t>
      </w:r>
    </w:p>
    <w:p w14:paraId="047BBD48" w14:textId="77777777" w:rsidR="00690D11" w:rsidRDefault="00690D11">
      <w:pPr>
        <w:pStyle w:val="P22"/>
        <w:spacing w:before="72"/>
        <w:ind w:left="1021"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מ</w:t>
      </w:r>
      <w:r>
        <w:rPr>
          <w:rStyle w:val="default"/>
          <w:rFonts w:cs="FrankRuehl" w:hint="cs"/>
          <w:rtl/>
        </w:rPr>
        <w:t>וצא הטובין המיובאים, מועד ייצורם או מקום ייצורם;</w:t>
      </w:r>
    </w:p>
    <w:p w14:paraId="1A192AAE" w14:textId="77777777" w:rsidR="00690D11" w:rsidRDefault="00690D11">
      <w:pPr>
        <w:pStyle w:val="P22"/>
        <w:spacing w:before="72"/>
        <w:ind w:left="1021"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ש</w:t>
      </w:r>
      <w:r>
        <w:rPr>
          <w:rStyle w:val="default"/>
          <w:rFonts w:cs="FrankRuehl" w:hint="cs"/>
          <w:rtl/>
        </w:rPr>
        <w:t>ימוש בטובין המיובאים לאחר ייבואם;</w:t>
      </w:r>
    </w:p>
    <w:p w14:paraId="52871F8A" w14:textId="77777777" w:rsidR="00690D11" w:rsidRDefault="00690D11" w:rsidP="00D40045">
      <w:pPr>
        <w:pStyle w:val="P22"/>
        <w:spacing w:before="72"/>
        <w:ind w:left="1021" w:right="1134"/>
        <w:rPr>
          <w:rStyle w:val="default"/>
          <w:rFonts w:cs="FrankRuehl"/>
          <w:rtl/>
        </w:rPr>
      </w:pPr>
      <w:r>
        <w:rPr>
          <w:rStyle w:val="default"/>
          <w:rFonts w:cs="FrankRuehl" w:hint="cs"/>
          <w:rtl/>
        </w:rPr>
        <w:t>(</w:t>
      </w:r>
      <w:r>
        <w:rPr>
          <w:rStyle w:val="default"/>
          <w:rFonts w:cs="FrankRuehl"/>
          <w:rtl/>
        </w:rPr>
        <w:t>ז</w:t>
      </w:r>
      <w:r>
        <w:rPr>
          <w:rStyle w:val="default"/>
          <w:rFonts w:cs="FrankRuehl" w:hint="cs"/>
          <w:rtl/>
        </w:rPr>
        <w:t>)</w:t>
      </w:r>
      <w:r>
        <w:rPr>
          <w:rStyle w:val="default"/>
          <w:rFonts w:cs="FrankRuehl"/>
          <w:rtl/>
        </w:rPr>
        <w:tab/>
        <w:t>ד</w:t>
      </w:r>
      <w:r>
        <w:rPr>
          <w:rStyle w:val="default"/>
          <w:rFonts w:cs="FrankRuehl" w:hint="cs"/>
          <w:rtl/>
        </w:rPr>
        <w:t>רכי הובלתם ואופן הבאתם של הטובין מחוץ</w:t>
      </w:r>
      <w:r w:rsidR="00D40045">
        <w:rPr>
          <w:rStyle w:val="default"/>
          <w:rFonts w:cs="FrankRuehl" w:hint="cs"/>
          <w:rtl/>
        </w:rPr>
        <w:t>-</w:t>
      </w:r>
      <w:r>
        <w:rPr>
          <w:rStyle w:val="default"/>
          <w:rFonts w:cs="FrankRuehl" w:hint="cs"/>
          <w:rtl/>
        </w:rPr>
        <w:t>לארץ לישראל;</w:t>
      </w:r>
    </w:p>
    <w:p w14:paraId="24D1D22B" w14:textId="77777777" w:rsidR="00690D11" w:rsidRDefault="00690D11">
      <w:pPr>
        <w:pStyle w:val="P22"/>
        <w:spacing w:before="72"/>
        <w:ind w:left="1021" w:right="1134"/>
        <w:rPr>
          <w:rStyle w:val="default"/>
          <w:rFonts w:cs="FrankRuehl" w:hint="cs"/>
          <w:rtl/>
        </w:rPr>
      </w:pPr>
      <w:r>
        <w:rPr>
          <w:rStyle w:val="default"/>
          <w:rFonts w:cs="FrankRuehl"/>
          <w:rtl/>
        </w:rPr>
        <w:t>(ח</w:t>
      </w:r>
      <w:r>
        <w:rPr>
          <w:rStyle w:val="default"/>
          <w:rFonts w:cs="FrankRuehl" w:hint="cs"/>
          <w:rtl/>
        </w:rPr>
        <w:t>)</w:t>
      </w:r>
      <w:r>
        <w:rPr>
          <w:rStyle w:val="default"/>
          <w:rFonts w:cs="FrankRuehl"/>
          <w:rtl/>
        </w:rPr>
        <w:tab/>
        <w:t>כ</w:t>
      </w:r>
      <w:r>
        <w:rPr>
          <w:rStyle w:val="default"/>
          <w:rFonts w:cs="FrankRuehl" w:hint="cs"/>
          <w:rtl/>
        </w:rPr>
        <w:t>ל ענ</w:t>
      </w:r>
      <w:r>
        <w:rPr>
          <w:rStyle w:val="default"/>
          <w:rFonts w:cs="FrankRuehl"/>
          <w:rtl/>
        </w:rPr>
        <w:t>ין</w:t>
      </w:r>
      <w:r>
        <w:rPr>
          <w:rStyle w:val="default"/>
          <w:rFonts w:cs="FrankRuehl" w:hint="cs"/>
          <w:rtl/>
        </w:rPr>
        <w:t xml:space="preserve"> אחר שלא פורט בסעיף קטן זה, ובלבד שייראה למנהל המכס והבלו או לרשות מוסמכת כי התנאת אותו תנאי דרושה או מועילה להשגת מטרתה של הפקודה</w:t>
      </w:r>
      <w:r>
        <w:rPr>
          <w:rStyle w:val="default"/>
          <w:rFonts w:cs="FrankRuehl"/>
          <w:rtl/>
        </w:rPr>
        <w:t>.</w:t>
      </w:r>
    </w:p>
    <w:p w14:paraId="207877B7" w14:textId="77777777" w:rsidR="00203C3E" w:rsidRPr="000F611E" w:rsidRDefault="00203C3E" w:rsidP="008858B6">
      <w:pPr>
        <w:pStyle w:val="P00"/>
        <w:spacing w:before="0"/>
        <w:ind w:left="0" w:right="1134"/>
        <w:rPr>
          <w:rFonts w:cs="FrankRuehl" w:hint="cs"/>
          <w:b/>
          <w:bCs/>
          <w:vanish/>
          <w:szCs w:val="20"/>
          <w:shd w:val="clear" w:color="auto" w:fill="FFFF99"/>
          <w:rtl/>
        </w:rPr>
      </w:pPr>
      <w:bookmarkStart w:id="4" w:name="Rov9"/>
      <w:r w:rsidRPr="000F611E">
        <w:rPr>
          <w:rFonts w:cs="FrankRuehl" w:hint="cs"/>
          <w:vanish/>
          <w:color w:val="FF0000"/>
          <w:szCs w:val="20"/>
          <w:shd w:val="clear" w:color="auto" w:fill="FFFF99"/>
          <w:rtl/>
        </w:rPr>
        <w:t xml:space="preserve">מיום </w:t>
      </w:r>
      <w:r w:rsidR="008858B6" w:rsidRPr="000F611E">
        <w:rPr>
          <w:rFonts w:cs="FrankRuehl" w:hint="cs"/>
          <w:vanish/>
          <w:color w:val="FF0000"/>
          <w:szCs w:val="20"/>
          <w:shd w:val="clear" w:color="auto" w:fill="FFFF99"/>
          <w:rtl/>
        </w:rPr>
        <w:t>25</w:t>
      </w:r>
      <w:r w:rsidRPr="000F611E">
        <w:rPr>
          <w:rFonts w:cs="FrankRuehl" w:hint="cs"/>
          <w:vanish/>
          <w:color w:val="FF0000"/>
          <w:szCs w:val="20"/>
          <w:shd w:val="clear" w:color="auto" w:fill="FFFF99"/>
          <w:rtl/>
        </w:rPr>
        <w:t>.</w:t>
      </w:r>
      <w:r w:rsidR="008858B6" w:rsidRPr="000F611E">
        <w:rPr>
          <w:rFonts w:cs="FrankRuehl" w:hint="cs"/>
          <w:vanish/>
          <w:color w:val="FF0000"/>
          <w:szCs w:val="20"/>
          <w:shd w:val="clear" w:color="auto" w:fill="FFFF99"/>
          <w:rtl/>
        </w:rPr>
        <w:t>12</w:t>
      </w:r>
      <w:r w:rsidRPr="000F611E">
        <w:rPr>
          <w:rFonts w:cs="FrankRuehl" w:hint="cs"/>
          <w:vanish/>
          <w:color w:val="FF0000"/>
          <w:szCs w:val="20"/>
          <w:shd w:val="clear" w:color="auto" w:fill="FFFF99"/>
          <w:rtl/>
        </w:rPr>
        <w:t>.1954</w:t>
      </w:r>
    </w:p>
    <w:p w14:paraId="489574E2" w14:textId="77777777" w:rsidR="00203C3E" w:rsidRPr="000F611E" w:rsidRDefault="00203C3E" w:rsidP="008858B6">
      <w:pPr>
        <w:pStyle w:val="P00"/>
        <w:spacing w:before="0"/>
        <w:ind w:left="0" w:right="1134"/>
        <w:rPr>
          <w:rFonts w:cs="FrankRuehl" w:hint="cs"/>
          <w:b/>
          <w:bCs/>
          <w:vanish/>
          <w:szCs w:val="20"/>
          <w:shd w:val="clear" w:color="auto" w:fill="FFFF99"/>
          <w:rtl/>
        </w:rPr>
      </w:pPr>
      <w:r w:rsidRPr="000F611E">
        <w:rPr>
          <w:rFonts w:cs="FrankRuehl" w:hint="cs"/>
          <w:b/>
          <w:bCs/>
          <w:vanish/>
          <w:szCs w:val="20"/>
          <w:shd w:val="clear" w:color="auto" w:fill="FFFF99"/>
          <w:rtl/>
        </w:rPr>
        <w:t>צו תשי"</w:t>
      </w:r>
      <w:r w:rsidR="008858B6" w:rsidRPr="000F611E">
        <w:rPr>
          <w:rFonts w:cs="FrankRuehl" w:hint="cs"/>
          <w:b/>
          <w:bCs/>
          <w:vanish/>
          <w:szCs w:val="20"/>
          <w:shd w:val="clear" w:color="auto" w:fill="FFFF99"/>
          <w:rtl/>
        </w:rPr>
        <w:t>ט</w:t>
      </w:r>
      <w:r w:rsidRPr="000F611E">
        <w:rPr>
          <w:rFonts w:cs="FrankRuehl" w:hint="cs"/>
          <w:b/>
          <w:bCs/>
          <w:vanish/>
          <w:szCs w:val="20"/>
          <w:shd w:val="clear" w:color="auto" w:fill="FFFF99"/>
          <w:rtl/>
        </w:rPr>
        <w:t>-195</w:t>
      </w:r>
      <w:r w:rsidR="008858B6" w:rsidRPr="000F611E">
        <w:rPr>
          <w:rFonts w:cs="FrankRuehl" w:hint="cs"/>
          <w:b/>
          <w:bCs/>
          <w:vanish/>
          <w:szCs w:val="20"/>
          <w:shd w:val="clear" w:color="auto" w:fill="FFFF99"/>
          <w:rtl/>
        </w:rPr>
        <w:t>8</w:t>
      </w:r>
    </w:p>
    <w:p w14:paraId="28B1CDEE" w14:textId="77777777" w:rsidR="00203C3E" w:rsidRPr="000F611E" w:rsidRDefault="008858B6" w:rsidP="008858B6">
      <w:pPr>
        <w:pStyle w:val="P00"/>
        <w:spacing w:before="0"/>
        <w:ind w:left="0" w:right="1134"/>
        <w:rPr>
          <w:rFonts w:cs="FrankRuehl" w:hint="cs"/>
          <w:vanish/>
          <w:szCs w:val="20"/>
          <w:shd w:val="clear" w:color="auto" w:fill="FFFF99"/>
          <w:rtl/>
        </w:rPr>
      </w:pPr>
      <w:hyperlink r:id="rId6" w:history="1">
        <w:r w:rsidRPr="000F611E">
          <w:rPr>
            <w:rStyle w:val="Hyperlink"/>
            <w:rFonts w:cs="FrankRuehl" w:hint="cs"/>
            <w:vanish/>
            <w:szCs w:val="20"/>
            <w:shd w:val="clear" w:color="auto" w:fill="FFFF99"/>
            <w:rtl/>
          </w:rPr>
          <w:t>ק</w:t>
        </w:r>
        <w:r w:rsidRPr="000F611E">
          <w:rPr>
            <w:rStyle w:val="Hyperlink"/>
            <w:rFonts w:cs="FrankRuehl"/>
            <w:vanish/>
            <w:szCs w:val="20"/>
            <w:shd w:val="clear" w:color="auto" w:fill="FFFF99"/>
            <w:rtl/>
          </w:rPr>
          <w:t>"</w:t>
        </w:r>
        <w:r w:rsidRPr="000F611E">
          <w:rPr>
            <w:rStyle w:val="Hyperlink"/>
            <w:rFonts w:cs="FrankRuehl" w:hint="cs"/>
            <w:vanish/>
            <w:szCs w:val="20"/>
            <w:shd w:val="clear" w:color="auto" w:fill="FFFF99"/>
            <w:rtl/>
          </w:rPr>
          <w:t>ת תשי"ט מס' 858</w:t>
        </w:r>
      </w:hyperlink>
      <w:r w:rsidR="00203C3E" w:rsidRPr="000F611E">
        <w:rPr>
          <w:rFonts w:cs="FrankRuehl" w:hint="cs"/>
          <w:vanish/>
          <w:szCs w:val="20"/>
          <w:shd w:val="clear" w:color="auto" w:fill="FFFF99"/>
          <w:rtl/>
        </w:rPr>
        <w:t xml:space="preserve"> מיום </w:t>
      </w:r>
      <w:r w:rsidRPr="000F611E">
        <w:rPr>
          <w:rFonts w:cs="FrankRuehl" w:hint="cs"/>
          <w:vanish/>
          <w:szCs w:val="20"/>
          <w:shd w:val="clear" w:color="auto" w:fill="FFFF99"/>
          <w:rtl/>
        </w:rPr>
        <w:t>25</w:t>
      </w:r>
      <w:r w:rsidR="00203C3E" w:rsidRPr="000F611E">
        <w:rPr>
          <w:rFonts w:cs="FrankRuehl" w:hint="cs"/>
          <w:vanish/>
          <w:szCs w:val="20"/>
          <w:shd w:val="clear" w:color="auto" w:fill="FFFF99"/>
          <w:rtl/>
        </w:rPr>
        <w:t>.</w:t>
      </w:r>
      <w:r w:rsidRPr="000F611E">
        <w:rPr>
          <w:rFonts w:cs="FrankRuehl" w:hint="cs"/>
          <w:vanish/>
          <w:szCs w:val="20"/>
          <w:shd w:val="clear" w:color="auto" w:fill="FFFF99"/>
          <w:rtl/>
        </w:rPr>
        <w:t>12</w:t>
      </w:r>
      <w:r w:rsidR="00203C3E" w:rsidRPr="000F611E">
        <w:rPr>
          <w:rFonts w:cs="FrankRuehl" w:hint="cs"/>
          <w:vanish/>
          <w:szCs w:val="20"/>
          <w:shd w:val="clear" w:color="auto" w:fill="FFFF99"/>
          <w:rtl/>
        </w:rPr>
        <w:t>.195</w:t>
      </w:r>
      <w:r w:rsidRPr="000F611E">
        <w:rPr>
          <w:rFonts w:cs="FrankRuehl" w:hint="cs"/>
          <w:vanish/>
          <w:szCs w:val="20"/>
          <w:shd w:val="clear" w:color="auto" w:fill="FFFF99"/>
          <w:rtl/>
        </w:rPr>
        <w:t xml:space="preserve">8 </w:t>
      </w:r>
      <w:r w:rsidR="00203C3E" w:rsidRPr="000F611E">
        <w:rPr>
          <w:rFonts w:cs="FrankRuehl" w:hint="cs"/>
          <w:vanish/>
          <w:szCs w:val="20"/>
          <w:shd w:val="clear" w:color="auto" w:fill="FFFF99"/>
          <w:rtl/>
        </w:rPr>
        <w:t xml:space="preserve">עמ' </w:t>
      </w:r>
      <w:r w:rsidRPr="000F611E">
        <w:rPr>
          <w:rFonts w:cs="FrankRuehl" w:hint="cs"/>
          <w:vanish/>
          <w:szCs w:val="20"/>
          <w:shd w:val="clear" w:color="auto" w:fill="FFFF99"/>
          <w:rtl/>
        </w:rPr>
        <w:t>541</w:t>
      </w:r>
    </w:p>
    <w:p w14:paraId="4835F668" w14:textId="77777777" w:rsidR="007A48B4" w:rsidRPr="000F611E" w:rsidRDefault="007A48B4" w:rsidP="006326CC">
      <w:pPr>
        <w:pStyle w:val="P00"/>
        <w:ind w:left="0" w:right="1134"/>
        <w:rPr>
          <w:rStyle w:val="default"/>
          <w:rFonts w:cs="FrankRuehl" w:hint="cs"/>
          <w:vanish/>
          <w:sz w:val="22"/>
          <w:szCs w:val="22"/>
          <w:shd w:val="clear" w:color="auto" w:fill="FFFF99"/>
          <w:rtl/>
        </w:rPr>
      </w:pPr>
      <w:r w:rsidRPr="000F611E">
        <w:rPr>
          <w:rStyle w:val="big-number"/>
          <w:rFonts w:cs="FrankRuehl"/>
          <w:vanish/>
          <w:sz w:val="22"/>
          <w:szCs w:val="22"/>
          <w:shd w:val="clear" w:color="auto" w:fill="FFFF99"/>
          <w:rtl/>
        </w:rPr>
        <w:t>3.</w:t>
      </w:r>
      <w:r w:rsidRPr="000F611E">
        <w:rPr>
          <w:rStyle w:val="big-number"/>
          <w:rFonts w:cs="FrankRuehl"/>
          <w:vanish/>
          <w:sz w:val="22"/>
          <w:szCs w:val="22"/>
          <w:shd w:val="clear" w:color="auto" w:fill="FFFF99"/>
          <w:rtl/>
        </w:rPr>
        <w:tab/>
      </w:r>
      <w:r w:rsidRPr="000F611E">
        <w:rPr>
          <w:rStyle w:val="default"/>
          <w:rFonts w:cs="FrankRuehl"/>
          <w:vanish/>
          <w:sz w:val="22"/>
          <w:szCs w:val="22"/>
          <w:u w:val="single"/>
          <w:shd w:val="clear" w:color="auto" w:fill="FFFF99"/>
          <w:rtl/>
        </w:rPr>
        <w:t>(1)</w:t>
      </w:r>
      <w:r w:rsidRPr="000F611E">
        <w:rPr>
          <w:rStyle w:val="default"/>
          <w:rFonts w:cs="FrankRuehl"/>
          <w:vanish/>
          <w:sz w:val="22"/>
          <w:szCs w:val="22"/>
          <w:shd w:val="clear" w:color="auto" w:fill="FFFF99"/>
          <w:rtl/>
        </w:rPr>
        <w:tab/>
        <w:t>ש</w:t>
      </w:r>
      <w:r w:rsidRPr="000F611E">
        <w:rPr>
          <w:rStyle w:val="default"/>
          <w:rFonts w:cs="FrankRuehl" w:hint="cs"/>
          <w:vanish/>
          <w:sz w:val="22"/>
          <w:szCs w:val="22"/>
          <w:shd w:val="clear" w:color="auto" w:fill="FFFF99"/>
          <w:rtl/>
        </w:rPr>
        <w:t xml:space="preserve">ום דבר האמור בהוראות דלעיל אין </w:t>
      </w:r>
      <w:r w:rsidRPr="000F611E">
        <w:rPr>
          <w:rStyle w:val="default"/>
          <w:rFonts w:cs="FrankRuehl"/>
          <w:vanish/>
          <w:sz w:val="22"/>
          <w:szCs w:val="22"/>
          <w:shd w:val="clear" w:color="auto" w:fill="FFFF99"/>
          <w:rtl/>
        </w:rPr>
        <w:t>לר</w:t>
      </w:r>
      <w:r w:rsidRPr="000F611E">
        <w:rPr>
          <w:rStyle w:val="default"/>
          <w:rFonts w:cs="FrankRuehl" w:hint="cs"/>
          <w:vanish/>
          <w:sz w:val="22"/>
          <w:szCs w:val="22"/>
          <w:shd w:val="clear" w:color="auto" w:fill="FFFF99"/>
          <w:rtl/>
        </w:rPr>
        <w:t xml:space="preserve">אותו כאילו הוא בא לאסור </w:t>
      </w:r>
      <w:r w:rsidR="000F611E" w:rsidRPr="000F611E">
        <w:rPr>
          <w:rStyle w:val="default"/>
          <w:rFonts w:cs="FrankRuehl"/>
          <w:vanish/>
          <w:sz w:val="22"/>
          <w:szCs w:val="22"/>
          <w:shd w:val="clear" w:color="auto" w:fill="FFFF99"/>
          <w:rtl/>
        </w:rPr>
        <w:t>–</w:t>
      </w:r>
    </w:p>
    <w:p w14:paraId="593AD08B" w14:textId="77777777" w:rsidR="007A48B4" w:rsidRPr="000F611E" w:rsidRDefault="007A48B4" w:rsidP="007A48B4">
      <w:pPr>
        <w:pStyle w:val="P22"/>
        <w:spacing w:before="0"/>
        <w:ind w:left="1021" w:right="1134"/>
        <w:rPr>
          <w:rStyle w:val="default"/>
          <w:rFonts w:cs="FrankRuehl"/>
          <w:vanish/>
          <w:sz w:val="22"/>
          <w:szCs w:val="22"/>
          <w:shd w:val="clear" w:color="auto" w:fill="FFFF99"/>
          <w:rtl/>
        </w:rPr>
      </w:pPr>
      <w:r w:rsidRPr="000F611E">
        <w:rPr>
          <w:rStyle w:val="default"/>
          <w:rFonts w:cs="FrankRuehl"/>
          <w:vanish/>
          <w:sz w:val="22"/>
          <w:szCs w:val="22"/>
          <w:shd w:val="clear" w:color="auto" w:fill="FFFF99"/>
          <w:rtl/>
        </w:rPr>
        <w:t>(א</w:t>
      </w:r>
      <w:r w:rsidRPr="000F611E">
        <w:rPr>
          <w:rStyle w:val="default"/>
          <w:rFonts w:cs="FrankRuehl" w:hint="cs"/>
          <w:vanish/>
          <w:sz w:val="22"/>
          <w:szCs w:val="22"/>
          <w:shd w:val="clear" w:color="auto" w:fill="FFFF99"/>
          <w:rtl/>
        </w:rPr>
        <w:t>)</w:t>
      </w:r>
      <w:r w:rsidRPr="000F611E">
        <w:rPr>
          <w:rStyle w:val="default"/>
          <w:rFonts w:cs="FrankRuehl"/>
          <w:vanish/>
          <w:sz w:val="22"/>
          <w:szCs w:val="22"/>
          <w:shd w:val="clear" w:color="auto" w:fill="FFFF99"/>
          <w:rtl/>
        </w:rPr>
        <w:tab/>
        <w:t>א</w:t>
      </w:r>
      <w:r w:rsidRPr="000F611E">
        <w:rPr>
          <w:rStyle w:val="default"/>
          <w:rFonts w:cs="FrankRuehl" w:hint="cs"/>
          <w:vanish/>
          <w:sz w:val="22"/>
          <w:szCs w:val="22"/>
          <w:shd w:val="clear" w:color="auto" w:fill="FFFF99"/>
          <w:rtl/>
        </w:rPr>
        <w:t>ת יבואה של כל סחורה עפ"י רשיון שניתן ע"י מנהל המכס והבלו, או כל רשות מוסמכת, ובלבד שימלאו אחר כל התנאים המצורפים לאותו רשיון; או</w:t>
      </w:r>
    </w:p>
    <w:p w14:paraId="405F3964" w14:textId="77777777" w:rsidR="007A48B4" w:rsidRPr="000F611E" w:rsidRDefault="007A48B4" w:rsidP="007A48B4">
      <w:pPr>
        <w:pStyle w:val="P22"/>
        <w:spacing w:before="0"/>
        <w:ind w:left="1021" w:right="1134"/>
        <w:rPr>
          <w:rStyle w:val="default"/>
          <w:rFonts w:cs="FrankRuehl"/>
          <w:vanish/>
          <w:sz w:val="22"/>
          <w:szCs w:val="22"/>
          <w:shd w:val="clear" w:color="auto" w:fill="FFFF99"/>
          <w:rtl/>
        </w:rPr>
      </w:pPr>
      <w:r w:rsidRPr="000F611E">
        <w:rPr>
          <w:rStyle w:val="default"/>
          <w:rFonts w:cs="FrankRuehl" w:hint="cs"/>
          <w:vanish/>
          <w:sz w:val="22"/>
          <w:szCs w:val="22"/>
          <w:shd w:val="clear" w:color="auto" w:fill="FFFF99"/>
          <w:rtl/>
        </w:rPr>
        <w:t>(</w:t>
      </w:r>
      <w:r w:rsidRPr="000F611E">
        <w:rPr>
          <w:rStyle w:val="default"/>
          <w:rFonts w:cs="FrankRuehl"/>
          <w:vanish/>
          <w:sz w:val="22"/>
          <w:szCs w:val="22"/>
          <w:shd w:val="clear" w:color="auto" w:fill="FFFF99"/>
          <w:rtl/>
        </w:rPr>
        <w:t>ב</w:t>
      </w:r>
      <w:r w:rsidRPr="000F611E">
        <w:rPr>
          <w:rStyle w:val="default"/>
          <w:rFonts w:cs="FrankRuehl" w:hint="cs"/>
          <w:vanish/>
          <w:sz w:val="22"/>
          <w:szCs w:val="22"/>
          <w:shd w:val="clear" w:color="auto" w:fill="FFFF99"/>
          <w:rtl/>
        </w:rPr>
        <w:t>)</w:t>
      </w:r>
      <w:r w:rsidRPr="000F611E">
        <w:rPr>
          <w:rStyle w:val="default"/>
          <w:rFonts w:cs="FrankRuehl"/>
          <w:vanish/>
          <w:sz w:val="22"/>
          <w:szCs w:val="22"/>
          <w:shd w:val="clear" w:color="auto" w:fill="FFFF99"/>
          <w:rtl/>
        </w:rPr>
        <w:tab/>
        <w:t>א</w:t>
      </w:r>
      <w:r w:rsidRPr="000F611E">
        <w:rPr>
          <w:rStyle w:val="default"/>
          <w:rFonts w:cs="FrankRuehl" w:hint="cs"/>
          <w:vanish/>
          <w:sz w:val="22"/>
          <w:szCs w:val="22"/>
          <w:shd w:val="clear" w:color="auto" w:fill="FFFF99"/>
          <w:rtl/>
        </w:rPr>
        <w:t>ת יבואה של כל סחורה אשר, כפי שהוכח כדי הנחת דעתו של מנהל המכס והבלו, נשלחה לישראל לפני שצ</w:t>
      </w:r>
      <w:r w:rsidRPr="000F611E">
        <w:rPr>
          <w:rStyle w:val="default"/>
          <w:rFonts w:cs="FrankRuehl"/>
          <w:vanish/>
          <w:sz w:val="22"/>
          <w:szCs w:val="22"/>
          <w:shd w:val="clear" w:color="auto" w:fill="FFFF99"/>
          <w:rtl/>
        </w:rPr>
        <w:t xml:space="preserve">ו </w:t>
      </w:r>
      <w:r w:rsidRPr="000F611E">
        <w:rPr>
          <w:rStyle w:val="default"/>
          <w:rFonts w:cs="FrankRuehl" w:hint="cs"/>
          <w:vanish/>
          <w:sz w:val="22"/>
          <w:szCs w:val="22"/>
          <w:shd w:val="clear" w:color="auto" w:fill="FFFF99"/>
          <w:rtl/>
        </w:rPr>
        <w:t>זה קיבל תוקף.</w:t>
      </w:r>
    </w:p>
    <w:p w14:paraId="20298374" w14:textId="77777777" w:rsidR="007A48B4" w:rsidRPr="000F611E" w:rsidRDefault="007A48B4" w:rsidP="007A48B4">
      <w:pPr>
        <w:pStyle w:val="P00"/>
        <w:spacing w:before="0"/>
        <w:ind w:left="0" w:right="1134"/>
        <w:rPr>
          <w:rStyle w:val="default"/>
          <w:rFonts w:cs="FrankRuehl"/>
          <w:vanish/>
          <w:sz w:val="22"/>
          <w:szCs w:val="22"/>
          <w:u w:val="single"/>
          <w:shd w:val="clear" w:color="auto" w:fill="FFFF99"/>
          <w:rtl/>
        </w:rPr>
      </w:pPr>
      <w:r w:rsidRPr="000F611E">
        <w:rPr>
          <w:rFonts w:cs="FrankRuehl"/>
          <w:vanish/>
          <w:sz w:val="22"/>
          <w:szCs w:val="22"/>
          <w:shd w:val="clear" w:color="auto" w:fill="FFFF99"/>
          <w:rtl/>
        </w:rPr>
        <w:tab/>
      </w:r>
      <w:r w:rsidRPr="000F611E">
        <w:rPr>
          <w:rStyle w:val="default"/>
          <w:rFonts w:cs="FrankRuehl"/>
          <w:vanish/>
          <w:sz w:val="22"/>
          <w:szCs w:val="22"/>
          <w:u w:val="single"/>
          <w:shd w:val="clear" w:color="auto" w:fill="FFFF99"/>
          <w:rtl/>
        </w:rPr>
        <w:t>(2)</w:t>
      </w:r>
      <w:r w:rsidRPr="000F611E">
        <w:rPr>
          <w:rStyle w:val="default"/>
          <w:rFonts w:cs="FrankRuehl"/>
          <w:vanish/>
          <w:sz w:val="22"/>
          <w:szCs w:val="22"/>
          <w:u w:val="single"/>
          <w:shd w:val="clear" w:color="auto" w:fill="FFFF99"/>
          <w:rtl/>
        </w:rPr>
        <w:tab/>
        <w:t>ה</w:t>
      </w:r>
      <w:r w:rsidRPr="000F611E">
        <w:rPr>
          <w:rStyle w:val="default"/>
          <w:rFonts w:cs="FrankRuehl" w:hint="cs"/>
          <w:vanish/>
          <w:sz w:val="22"/>
          <w:szCs w:val="22"/>
          <w:u w:val="single"/>
          <w:shd w:val="clear" w:color="auto" w:fill="FFFF99"/>
          <w:rtl/>
        </w:rPr>
        <w:t>תנאים שמנהל המכס והבלו או רשות מוסמכת רשאים להתנות לפי סעיף קטן (1) יכול שיהיו בנוגע לענינים אלה, כולם או מקצת</w:t>
      </w:r>
      <w:r w:rsidRPr="000F611E">
        <w:rPr>
          <w:rStyle w:val="default"/>
          <w:rFonts w:cs="FrankRuehl"/>
          <w:vanish/>
          <w:sz w:val="22"/>
          <w:szCs w:val="22"/>
          <w:u w:val="single"/>
          <w:shd w:val="clear" w:color="auto" w:fill="FFFF99"/>
          <w:rtl/>
        </w:rPr>
        <w:t>ם</w:t>
      </w:r>
      <w:r w:rsidRPr="000F611E">
        <w:rPr>
          <w:rStyle w:val="default"/>
          <w:rFonts w:cs="FrankRuehl" w:hint="cs"/>
          <w:vanish/>
          <w:sz w:val="22"/>
          <w:szCs w:val="22"/>
          <w:u w:val="single"/>
          <w:shd w:val="clear" w:color="auto" w:fill="FFFF99"/>
          <w:rtl/>
        </w:rPr>
        <w:t>:</w:t>
      </w:r>
    </w:p>
    <w:p w14:paraId="73A4AF9C" w14:textId="77777777" w:rsidR="007A48B4" w:rsidRPr="000F611E" w:rsidRDefault="007A48B4" w:rsidP="007A48B4">
      <w:pPr>
        <w:pStyle w:val="P22"/>
        <w:spacing w:before="0"/>
        <w:ind w:left="1021" w:right="1134"/>
        <w:rPr>
          <w:rStyle w:val="default"/>
          <w:rFonts w:cs="FrankRuehl"/>
          <w:vanish/>
          <w:sz w:val="22"/>
          <w:szCs w:val="22"/>
          <w:u w:val="single"/>
          <w:shd w:val="clear" w:color="auto" w:fill="FFFF99"/>
          <w:rtl/>
        </w:rPr>
      </w:pPr>
      <w:r w:rsidRPr="000F611E">
        <w:rPr>
          <w:rStyle w:val="default"/>
          <w:rFonts w:cs="FrankRuehl"/>
          <w:vanish/>
          <w:sz w:val="22"/>
          <w:szCs w:val="22"/>
          <w:u w:val="single"/>
          <w:shd w:val="clear" w:color="auto" w:fill="FFFF99"/>
          <w:rtl/>
        </w:rPr>
        <w:t>(א</w:t>
      </w:r>
      <w:r w:rsidRPr="000F611E">
        <w:rPr>
          <w:rStyle w:val="default"/>
          <w:rFonts w:cs="FrankRuehl" w:hint="cs"/>
          <w:vanish/>
          <w:sz w:val="22"/>
          <w:szCs w:val="22"/>
          <w:u w:val="single"/>
          <w:shd w:val="clear" w:color="auto" w:fill="FFFF99"/>
          <w:rtl/>
        </w:rPr>
        <w:t>)</w:t>
      </w:r>
      <w:r w:rsidRPr="000F611E">
        <w:rPr>
          <w:rStyle w:val="default"/>
          <w:rFonts w:cs="FrankRuehl"/>
          <w:vanish/>
          <w:sz w:val="22"/>
          <w:szCs w:val="22"/>
          <w:u w:val="single"/>
          <w:shd w:val="clear" w:color="auto" w:fill="FFFF99"/>
          <w:rtl/>
        </w:rPr>
        <w:tab/>
        <w:t>כ</w:t>
      </w:r>
      <w:r w:rsidRPr="000F611E">
        <w:rPr>
          <w:rStyle w:val="default"/>
          <w:rFonts w:cs="FrankRuehl" w:hint="cs"/>
          <w:vanish/>
          <w:sz w:val="22"/>
          <w:szCs w:val="22"/>
          <w:u w:val="single"/>
          <w:shd w:val="clear" w:color="auto" w:fill="FFFF99"/>
          <w:rtl/>
        </w:rPr>
        <w:t>מויות הטובין, איכותם ומועד ייבואם;</w:t>
      </w:r>
    </w:p>
    <w:p w14:paraId="0FF1F5E7" w14:textId="77777777" w:rsidR="007A48B4" w:rsidRPr="000F611E" w:rsidRDefault="007A48B4" w:rsidP="007A48B4">
      <w:pPr>
        <w:pStyle w:val="P22"/>
        <w:spacing w:before="0"/>
        <w:ind w:left="1021" w:right="1134"/>
        <w:rPr>
          <w:rStyle w:val="default"/>
          <w:rFonts w:cs="FrankRuehl"/>
          <w:vanish/>
          <w:sz w:val="22"/>
          <w:szCs w:val="22"/>
          <w:u w:val="single"/>
          <w:shd w:val="clear" w:color="auto" w:fill="FFFF99"/>
          <w:rtl/>
        </w:rPr>
      </w:pPr>
      <w:r w:rsidRPr="000F611E">
        <w:rPr>
          <w:rStyle w:val="default"/>
          <w:rFonts w:cs="FrankRuehl" w:hint="cs"/>
          <w:vanish/>
          <w:sz w:val="22"/>
          <w:szCs w:val="22"/>
          <w:u w:val="single"/>
          <w:shd w:val="clear" w:color="auto" w:fill="FFFF99"/>
          <w:rtl/>
        </w:rPr>
        <w:t>(</w:t>
      </w:r>
      <w:r w:rsidRPr="000F611E">
        <w:rPr>
          <w:rStyle w:val="default"/>
          <w:rFonts w:cs="FrankRuehl"/>
          <w:vanish/>
          <w:sz w:val="22"/>
          <w:szCs w:val="22"/>
          <w:u w:val="single"/>
          <w:shd w:val="clear" w:color="auto" w:fill="FFFF99"/>
          <w:rtl/>
        </w:rPr>
        <w:t>ב</w:t>
      </w:r>
      <w:r w:rsidRPr="000F611E">
        <w:rPr>
          <w:rStyle w:val="default"/>
          <w:rFonts w:cs="FrankRuehl" w:hint="cs"/>
          <w:vanish/>
          <w:sz w:val="22"/>
          <w:szCs w:val="22"/>
          <w:u w:val="single"/>
          <w:shd w:val="clear" w:color="auto" w:fill="FFFF99"/>
          <w:rtl/>
        </w:rPr>
        <w:t>)</w:t>
      </w:r>
      <w:r w:rsidRPr="000F611E">
        <w:rPr>
          <w:rStyle w:val="default"/>
          <w:rFonts w:cs="FrankRuehl"/>
          <w:vanish/>
          <w:sz w:val="22"/>
          <w:szCs w:val="22"/>
          <w:u w:val="single"/>
          <w:shd w:val="clear" w:color="auto" w:fill="FFFF99"/>
          <w:rtl/>
        </w:rPr>
        <w:tab/>
        <w:t>ת</w:t>
      </w:r>
      <w:r w:rsidRPr="000F611E">
        <w:rPr>
          <w:rStyle w:val="default"/>
          <w:rFonts w:cs="FrankRuehl" w:hint="cs"/>
          <w:vanish/>
          <w:sz w:val="22"/>
          <w:szCs w:val="22"/>
          <w:u w:val="single"/>
          <w:shd w:val="clear" w:color="auto" w:fill="FFFF99"/>
          <w:rtl/>
        </w:rPr>
        <w:t>קופת תקפו של הרשיון;</w:t>
      </w:r>
    </w:p>
    <w:p w14:paraId="507346B4" w14:textId="77777777" w:rsidR="007A48B4" w:rsidRPr="000F611E" w:rsidRDefault="007A48B4" w:rsidP="007A48B4">
      <w:pPr>
        <w:pStyle w:val="P22"/>
        <w:spacing w:before="0"/>
        <w:ind w:left="1021" w:right="1134"/>
        <w:rPr>
          <w:rStyle w:val="default"/>
          <w:rFonts w:cs="FrankRuehl"/>
          <w:vanish/>
          <w:sz w:val="22"/>
          <w:szCs w:val="22"/>
          <w:u w:val="single"/>
          <w:shd w:val="clear" w:color="auto" w:fill="FFFF99"/>
          <w:rtl/>
        </w:rPr>
      </w:pPr>
      <w:r w:rsidRPr="000F611E">
        <w:rPr>
          <w:rStyle w:val="default"/>
          <w:rFonts w:cs="FrankRuehl" w:hint="cs"/>
          <w:vanish/>
          <w:sz w:val="22"/>
          <w:szCs w:val="22"/>
          <w:u w:val="single"/>
          <w:shd w:val="clear" w:color="auto" w:fill="FFFF99"/>
          <w:rtl/>
        </w:rPr>
        <w:t>(</w:t>
      </w:r>
      <w:r w:rsidRPr="000F611E">
        <w:rPr>
          <w:rStyle w:val="default"/>
          <w:rFonts w:cs="FrankRuehl"/>
          <w:vanish/>
          <w:sz w:val="22"/>
          <w:szCs w:val="22"/>
          <w:u w:val="single"/>
          <w:shd w:val="clear" w:color="auto" w:fill="FFFF99"/>
          <w:rtl/>
        </w:rPr>
        <w:t>ג</w:t>
      </w:r>
      <w:r w:rsidRPr="000F611E">
        <w:rPr>
          <w:rStyle w:val="default"/>
          <w:rFonts w:cs="FrankRuehl" w:hint="cs"/>
          <w:vanish/>
          <w:sz w:val="22"/>
          <w:szCs w:val="22"/>
          <w:u w:val="single"/>
          <w:shd w:val="clear" w:color="auto" w:fill="FFFF99"/>
          <w:rtl/>
        </w:rPr>
        <w:t>)</w:t>
      </w:r>
      <w:r w:rsidRPr="000F611E">
        <w:rPr>
          <w:rStyle w:val="default"/>
          <w:rFonts w:cs="FrankRuehl"/>
          <w:vanish/>
          <w:sz w:val="22"/>
          <w:szCs w:val="22"/>
          <w:u w:val="single"/>
          <w:shd w:val="clear" w:color="auto" w:fill="FFFF99"/>
          <w:rtl/>
        </w:rPr>
        <w:tab/>
        <w:t>מ</w:t>
      </w:r>
      <w:r w:rsidRPr="000F611E">
        <w:rPr>
          <w:rStyle w:val="default"/>
          <w:rFonts w:cs="FrankRuehl" w:hint="cs"/>
          <w:vanish/>
          <w:sz w:val="22"/>
          <w:szCs w:val="22"/>
          <w:u w:val="single"/>
          <w:shd w:val="clear" w:color="auto" w:fill="FFFF99"/>
          <w:rtl/>
        </w:rPr>
        <w:t>ימון היבוא וביטוחו;</w:t>
      </w:r>
    </w:p>
    <w:p w14:paraId="716C5289" w14:textId="77777777" w:rsidR="007A48B4" w:rsidRPr="000F611E" w:rsidRDefault="007A48B4" w:rsidP="007A48B4">
      <w:pPr>
        <w:pStyle w:val="P22"/>
        <w:spacing w:before="0"/>
        <w:ind w:left="1021" w:right="1134"/>
        <w:rPr>
          <w:rStyle w:val="default"/>
          <w:rFonts w:cs="FrankRuehl"/>
          <w:vanish/>
          <w:sz w:val="22"/>
          <w:szCs w:val="22"/>
          <w:u w:val="single"/>
          <w:shd w:val="clear" w:color="auto" w:fill="FFFF99"/>
          <w:rtl/>
        </w:rPr>
      </w:pPr>
      <w:r w:rsidRPr="000F611E">
        <w:rPr>
          <w:rStyle w:val="default"/>
          <w:rFonts w:cs="FrankRuehl" w:hint="cs"/>
          <w:vanish/>
          <w:sz w:val="22"/>
          <w:szCs w:val="22"/>
          <w:u w:val="single"/>
          <w:shd w:val="clear" w:color="auto" w:fill="FFFF99"/>
          <w:rtl/>
        </w:rPr>
        <w:t>(</w:t>
      </w:r>
      <w:r w:rsidRPr="000F611E">
        <w:rPr>
          <w:rStyle w:val="default"/>
          <w:rFonts w:cs="FrankRuehl"/>
          <w:vanish/>
          <w:sz w:val="22"/>
          <w:szCs w:val="22"/>
          <w:u w:val="single"/>
          <w:shd w:val="clear" w:color="auto" w:fill="FFFF99"/>
          <w:rtl/>
        </w:rPr>
        <w:t>ד</w:t>
      </w:r>
      <w:r w:rsidRPr="000F611E">
        <w:rPr>
          <w:rStyle w:val="default"/>
          <w:rFonts w:cs="FrankRuehl" w:hint="cs"/>
          <w:vanish/>
          <w:sz w:val="22"/>
          <w:szCs w:val="22"/>
          <w:u w:val="single"/>
          <w:shd w:val="clear" w:color="auto" w:fill="FFFF99"/>
          <w:rtl/>
        </w:rPr>
        <w:t>)</w:t>
      </w:r>
      <w:r w:rsidRPr="000F611E">
        <w:rPr>
          <w:rStyle w:val="default"/>
          <w:rFonts w:cs="FrankRuehl"/>
          <w:vanish/>
          <w:sz w:val="22"/>
          <w:szCs w:val="22"/>
          <w:u w:val="single"/>
          <w:shd w:val="clear" w:color="auto" w:fill="FFFF99"/>
          <w:rtl/>
        </w:rPr>
        <w:tab/>
        <w:t>ה</w:t>
      </w:r>
      <w:r w:rsidRPr="000F611E">
        <w:rPr>
          <w:rStyle w:val="default"/>
          <w:rFonts w:cs="FrankRuehl" w:hint="cs"/>
          <w:vanish/>
          <w:sz w:val="22"/>
          <w:szCs w:val="22"/>
          <w:u w:val="single"/>
          <w:shd w:val="clear" w:color="auto" w:fill="FFFF99"/>
          <w:rtl/>
        </w:rPr>
        <w:t>בטחת הגעת הטובין המיובאים</w:t>
      </w:r>
      <w:r w:rsidRPr="000F611E">
        <w:rPr>
          <w:rStyle w:val="default"/>
          <w:rFonts w:cs="FrankRuehl"/>
          <w:vanish/>
          <w:sz w:val="22"/>
          <w:szCs w:val="22"/>
          <w:u w:val="single"/>
          <w:shd w:val="clear" w:color="auto" w:fill="FFFF99"/>
          <w:rtl/>
        </w:rPr>
        <w:t xml:space="preserve"> ל</w:t>
      </w:r>
      <w:r w:rsidRPr="000F611E">
        <w:rPr>
          <w:rStyle w:val="default"/>
          <w:rFonts w:cs="FrankRuehl" w:hint="cs"/>
          <w:vanish/>
          <w:sz w:val="22"/>
          <w:szCs w:val="22"/>
          <w:u w:val="single"/>
          <w:shd w:val="clear" w:color="auto" w:fill="FFFF99"/>
          <w:rtl/>
        </w:rPr>
        <w:t>מקום יעודם במועד שייקבע;</w:t>
      </w:r>
    </w:p>
    <w:p w14:paraId="63A7483B" w14:textId="77777777" w:rsidR="007A48B4" w:rsidRPr="000F611E" w:rsidRDefault="007A48B4" w:rsidP="007A48B4">
      <w:pPr>
        <w:pStyle w:val="P22"/>
        <w:spacing w:before="0"/>
        <w:ind w:left="1021" w:right="1134"/>
        <w:rPr>
          <w:rStyle w:val="default"/>
          <w:rFonts w:cs="FrankRuehl"/>
          <w:vanish/>
          <w:sz w:val="22"/>
          <w:szCs w:val="22"/>
          <w:u w:val="single"/>
          <w:shd w:val="clear" w:color="auto" w:fill="FFFF99"/>
          <w:rtl/>
        </w:rPr>
      </w:pPr>
      <w:r w:rsidRPr="000F611E">
        <w:rPr>
          <w:rStyle w:val="default"/>
          <w:rFonts w:cs="FrankRuehl" w:hint="cs"/>
          <w:vanish/>
          <w:sz w:val="22"/>
          <w:szCs w:val="22"/>
          <w:u w:val="single"/>
          <w:shd w:val="clear" w:color="auto" w:fill="FFFF99"/>
          <w:rtl/>
        </w:rPr>
        <w:t>(</w:t>
      </w:r>
      <w:r w:rsidRPr="000F611E">
        <w:rPr>
          <w:rStyle w:val="default"/>
          <w:rFonts w:cs="FrankRuehl"/>
          <w:vanish/>
          <w:sz w:val="22"/>
          <w:szCs w:val="22"/>
          <w:u w:val="single"/>
          <w:shd w:val="clear" w:color="auto" w:fill="FFFF99"/>
          <w:rtl/>
        </w:rPr>
        <w:t>ה</w:t>
      </w:r>
      <w:r w:rsidRPr="000F611E">
        <w:rPr>
          <w:rStyle w:val="default"/>
          <w:rFonts w:cs="FrankRuehl" w:hint="cs"/>
          <w:vanish/>
          <w:sz w:val="22"/>
          <w:szCs w:val="22"/>
          <w:u w:val="single"/>
          <w:shd w:val="clear" w:color="auto" w:fill="FFFF99"/>
          <w:rtl/>
        </w:rPr>
        <w:t>)</w:t>
      </w:r>
      <w:r w:rsidRPr="000F611E">
        <w:rPr>
          <w:rStyle w:val="default"/>
          <w:rFonts w:cs="FrankRuehl"/>
          <w:vanish/>
          <w:sz w:val="22"/>
          <w:szCs w:val="22"/>
          <w:u w:val="single"/>
          <w:shd w:val="clear" w:color="auto" w:fill="FFFF99"/>
          <w:rtl/>
        </w:rPr>
        <w:tab/>
        <w:t>מ</w:t>
      </w:r>
      <w:r w:rsidRPr="000F611E">
        <w:rPr>
          <w:rStyle w:val="default"/>
          <w:rFonts w:cs="FrankRuehl" w:hint="cs"/>
          <w:vanish/>
          <w:sz w:val="22"/>
          <w:szCs w:val="22"/>
          <w:u w:val="single"/>
          <w:shd w:val="clear" w:color="auto" w:fill="FFFF99"/>
          <w:rtl/>
        </w:rPr>
        <w:t>וצא הטובין המיובאים, מועד ייצורם או מקום ייצורם;</w:t>
      </w:r>
    </w:p>
    <w:p w14:paraId="238AE005" w14:textId="77777777" w:rsidR="007A48B4" w:rsidRPr="000F611E" w:rsidRDefault="007A48B4" w:rsidP="007A48B4">
      <w:pPr>
        <w:pStyle w:val="P22"/>
        <w:spacing w:before="0"/>
        <w:ind w:left="1021" w:right="1134"/>
        <w:rPr>
          <w:rStyle w:val="default"/>
          <w:rFonts w:cs="FrankRuehl"/>
          <w:vanish/>
          <w:sz w:val="22"/>
          <w:szCs w:val="22"/>
          <w:u w:val="single"/>
          <w:shd w:val="clear" w:color="auto" w:fill="FFFF99"/>
          <w:rtl/>
        </w:rPr>
      </w:pPr>
      <w:r w:rsidRPr="000F611E">
        <w:rPr>
          <w:rStyle w:val="default"/>
          <w:rFonts w:cs="FrankRuehl" w:hint="cs"/>
          <w:vanish/>
          <w:sz w:val="22"/>
          <w:szCs w:val="22"/>
          <w:u w:val="single"/>
          <w:shd w:val="clear" w:color="auto" w:fill="FFFF99"/>
          <w:rtl/>
        </w:rPr>
        <w:t>(</w:t>
      </w:r>
      <w:r w:rsidRPr="000F611E">
        <w:rPr>
          <w:rStyle w:val="default"/>
          <w:rFonts w:cs="FrankRuehl"/>
          <w:vanish/>
          <w:sz w:val="22"/>
          <w:szCs w:val="22"/>
          <w:u w:val="single"/>
          <w:shd w:val="clear" w:color="auto" w:fill="FFFF99"/>
          <w:rtl/>
        </w:rPr>
        <w:t>ו</w:t>
      </w:r>
      <w:r w:rsidRPr="000F611E">
        <w:rPr>
          <w:rStyle w:val="default"/>
          <w:rFonts w:cs="FrankRuehl" w:hint="cs"/>
          <w:vanish/>
          <w:sz w:val="22"/>
          <w:szCs w:val="22"/>
          <w:u w:val="single"/>
          <w:shd w:val="clear" w:color="auto" w:fill="FFFF99"/>
          <w:rtl/>
        </w:rPr>
        <w:t>)</w:t>
      </w:r>
      <w:r w:rsidRPr="000F611E">
        <w:rPr>
          <w:rStyle w:val="default"/>
          <w:rFonts w:cs="FrankRuehl"/>
          <w:vanish/>
          <w:sz w:val="22"/>
          <w:szCs w:val="22"/>
          <w:u w:val="single"/>
          <w:shd w:val="clear" w:color="auto" w:fill="FFFF99"/>
          <w:rtl/>
        </w:rPr>
        <w:tab/>
        <w:t>ש</w:t>
      </w:r>
      <w:r w:rsidRPr="000F611E">
        <w:rPr>
          <w:rStyle w:val="default"/>
          <w:rFonts w:cs="FrankRuehl" w:hint="cs"/>
          <w:vanish/>
          <w:sz w:val="22"/>
          <w:szCs w:val="22"/>
          <w:u w:val="single"/>
          <w:shd w:val="clear" w:color="auto" w:fill="FFFF99"/>
          <w:rtl/>
        </w:rPr>
        <w:t>ימוש בטובין המיובאים לאחר ייבואם;</w:t>
      </w:r>
    </w:p>
    <w:p w14:paraId="21C0D877" w14:textId="77777777" w:rsidR="007A48B4" w:rsidRPr="000F611E" w:rsidRDefault="007A48B4" w:rsidP="007A48B4">
      <w:pPr>
        <w:pStyle w:val="P22"/>
        <w:spacing w:before="0"/>
        <w:ind w:left="1021" w:right="1134"/>
        <w:rPr>
          <w:rStyle w:val="default"/>
          <w:rFonts w:cs="FrankRuehl"/>
          <w:vanish/>
          <w:sz w:val="22"/>
          <w:szCs w:val="22"/>
          <w:u w:val="single"/>
          <w:shd w:val="clear" w:color="auto" w:fill="FFFF99"/>
          <w:rtl/>
        </w:rPr>
      </w:pPr>
      <w:r w:rsidRPr="000F611E">
        <w:rPr>
          <w:rStyle w:val="default"/>
          <w:rFonts w:cs="FrankRuehl" w:hint="cs"/>
          <w:vanish/>
          <w:sz w:val="22"/>
          <w:szCs w:val="22"/>
          <w:u w:val="single"/>
          <w:shd w:val="clear" w:color="auto" w:fill="FFFF99"/>
          <w:rtl/>
        </w:rPr>
        <w:t>(</w:t>
      </w:r>
      <w:r w:rsidRPr="000F611E">
        <w:rPr>
          <w:rStyle w:val="default"/>
          <w:rFonts w:cs="FrankRuehl"/>
          <w:vanish/>
          <w:sz w:val="22"/>
          <w:szCs w:val="22"/>
          <w:u w:val="single"/>
          <w:shd w:val="clear" w:color="auto" w:fill="FFFF99"/>
          <w:rtl/>
        </w:rPr>
        <w:t>ז</w:t>
      </w:r>
      <w:r w:rsidRPr="000F611E">
        <w:rPr>
          <w:rStyle w:val="default"/>
          <w:rFonts w:cs="FrankRuehl" w:hint="cs"/>
          <w:vanish/>
          <w:sz w:val="22"/>
          <w:szCs w:val="22"/>
          <w:u w:val="single"/>
          <w:shd w:val="clear" w:color="auto" w:fill="FFFF99"/>
          <w:rtl/>
        </w:rPr>
        <w:t>)</w:t>
      </w:r>
      <w:r w:rsidRPr="000F611E">
        <w:rPr>
          <w:rStyle w:val="default"/>
          <w:rFonts w:cs="FrankRuehl"/>
          <w:vanish/>
          <w:sz w:val="22"/>
          <w:szCs w:val="22"/>
          <w:u w:val="single"/>
          <w:shd w:val="clear" w:color="auto" w:fill="FFFF99"/>
          <w:rtl/>
        </w:rPr>
        <w:tab/>
        <w:t>ד</w:t>
      </w:r>
      <w:r w:rsidRPr="000F611E">
        <w:rPr>
          <w:rStyle w:val="default"/>
          <w:rFonts w:cs="FrankRuehl" w:hint="cs"/>
          <w:vanish/>
          <w:sz w:val="22"/>
          <w:szCs w:val="22"/>
          <w:u w:val="single"/>
          <w:shd w:val="clear" w:color="auto" w:fill="FFFF99"/>
          <w:rtl/>
        </w:rPr>
        <w:t>רכי הובלתם ואופן הבאתם של הטובין מחוץ-לארץ לישראל;</w:t>
      </w:r>
    </w:p>
    <w:p w14:paraId="7E3D0CFE" w14:textId="77777777" w:rsidR="007A48B4" w:rsidRPr="00AF0A3E" w:rsidRDefault="007A48B4" w:rsidP="00AF0A3E">
      <w:pPr>
        <w:pStyle w:val="P22"/>
        <w:spacing w:before="0"/>
        <w:ind w:left="1021" w:right="1134"/>
        <w:rPr>
          <w:rStyle w:val="default"/>
          <w:rFonts w:cs="FrankRuehl" w:hint="cs"/>
          <w:sz w:val="2"/>
          <w:szCs w:val="2"/>
          <w:u w:val="single"/>
          <w:rtl/>
        </w:rPr>
      </w:pPr>
      <w:r w:rsidRPr="000F611E">
        <w:rPr>
          <w:rStyle w:val="default"/>
          <w:rFonts w:cs="FrankRuehl"/>
          <w:vanish/>
          <w:sz w:val="22"/>
          <w:szCs w:val="22"/>
          <w:u w:val="single"/>
          <w:shd w:val="clear" w:color="auto" w:fill="FFFF99"/>
          <w:rtl/>
        </w:rPr>
        <w:t>(ח</w:t>
      </w:r>
      <w:r w:rsidRPr="000F611E">
        <w:rPr>
          <w:rStyle w:val="default"/>
          <w:rFonts w:cs="FrankRuehl" w:hint="cs"/>
          <w:vanish/>
          <w:sz w:val="22"/>
          <w:szCs w:val="22"/>
          <w:u w:val="single"/>
          <w:shd w:val="clear" w:color="auto" w:fill="FFFF99"/>
          <w:rtl/>
        </w:rPr>
        <w:t>)</w:t>
      </w:r>
      <w:r w:rsidRPr="000F611E">
        <w:rPr>
          <w:rStyle w:val="default"/>
          <w:rFonts w:cs="FrankRuehl"/>
          <w:vanish/>
          <w:sz w:val="22"/>
          <w:szCs w:val="22"/>
          <w:u w:val="single"/>
          <w:shd w:val="clear" w:color="auto" w:fill="FFFF99"/>
          <w:rtl/>
        </w:rPr>
        <w:tab/>
        <w:t>כ</w:t>
      </w:r>
      <w:r w:rsidRPr="000F611E">
        <w:rPr>
          <w:rStyle w:val="default"/>
          <w:rFonts w:cs="FrankRuehl" w:hint="cs"/>
          <w:vanish/>
          <w:sz w:val="22"/>
          <w:szCs w:val="22"/>
          <w:u w:val="single"/>
          <w:shd w:val="clear" w:color="auto" w:fill="FFFF99"/>
          <w:rtl/>
        </w:rPr>
        <w:t>ל ענ</w:t>
      </w:r>
      <w:r w:rsidRPr="000F611E">
        <w:rPr>
          <w:rStyle w:val="default"/>
          <w:rFonts w:cs="FrankRuehl"/>
          <w:vanish/>
          <w:sz w:val="22"/>
          <w:szCs w:val="22"/>
          <w:u w:val="single"/>
          <w:shd w:val="clear" w:color="auto" w:fill="FFFF99"/>
          <w:rtl/>
        </w:rPr>
        <w:t>ין</w:t>
      </w:r>
      <w:r w:rsidRPr="000F611E">
        <w:rPr>
          <w:rStyle w:val="default"/>
          <w:rFonts w:cs="FrankRuehl" w:hint="cs"/>
          <w:vanish/>
          <w:sz w:val="22"/>
          <w:szCs w:val="22"/>
          <w:u w:val="single"/>
          <w:shd w:val="clear" w:color="auto" w:fill="FFFF99"/>
          <w:rtl/>
        </w:rPr>
        <w:t xml:space="preserve"> אחר שלא פורט בסעיף קטן זה, ובלבד שייראה למנהל המכס והבלו או לרשות מוסמכת כי התנאת אותו תנאי דרושה או מועילה להשגת מטרתה של הפקודה</w:t>
      </w:r>
      <w:r w:rsidRPr="000F611E">
        <w:rPr>
          <w:rStyle w:val="default"/>
          <w:rFonts w:cs="FrankRuehl"/>
          <w:vanish/>
          <w:sz w:val="22"/>
          <w:szCs w:val="22"/>
          <w:u w:val="single"/>
          <w:shd w:val="clear" w:color="auto" w:fill="FFFF99"/>
          <w:rtl/>
        </w:rPr>
        <w:t>.</w:t>
      </w:r>
      <w:bookmarkEnd w:id="4"/>
    </w:p>
    <w:p w14:paraId="07285C38" w14:textId="77777777" w:rsidR="00690D11" w:rsidRDefault="00690D11">
      <w:pPr>
        <w:pStyle w:val="P00"/>
        <w:spacing w:before="72"/>
        <w:ind w:left="0" w:right="1134"/>
        <w:rPr>
          <w:rStyle w:val="default"/>
          <w:rFonts w:cs="FrankRuehl" w:hint="cs"/>
          <w:rtl/>
        </w:rPr>
      </w:pPr>
      <w:r>
        <w:rPr>
          <w:lang w:val="he-IL"/>
        </w:rPr>
        <w:pict w14:anchorId="5D5CCFCC">
          <v:rect id="_x0000_s1029" style="position:absolute;left:0;text-align:left;margin-left:464.5pt;margin-top:8.05pt;width:75.05pt;height:13.2pt;z-index:251657216" o:allowincell="f" filled="f" stroked="f" strokecolor="lime" strokeweight=".25pt">
            <v:textbox style="mso-next-textbox:#_x0000_s1029" inset="0,0,0,0">
              <w:txbxContent>
                <w:p w14:paraId="2E9F25D4" w14:textId="77777777" w:rsidR="00690D11" w:rsidRDefault="00690D11" w:rsidP="000F611E">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תשי"ד</w:t>
                  </w:r>
                  <w:r w:rsidR="000F611E">
                    <w:rPr>
                      <w:rFonts w:cs="Miriam" w:hint="cs"/>
                      <w:sz w:val="18"/>
                      <w:szCs w:val="18"/>
                      <w:rtl/>
                    </w:rPr>
                    <w:t>-</w:t>
                  </w:r>
                  <w:r>
                    <w:rPr>
                      <w:rFonts w:cs="Miriam"/>
                      <w:sz w:val="18"/>
                      <w:szCs w:val="18"/>
                      <w:rtl/>
                    </w:rPr>
                    <w:t>1954</w:t>
                  </w:r>
                </w:p>
              </w:txbxContent>
            </v:textbox>
            <w10:anchorlock/>
          </v:rect>
        </w:pict>
      </w:r>
      <w:r>
        <w:rPr>
          <w:rStyle w:val="big-number"/>
          <w:rFonts w:cs="Miriam"/>
          <w:rtl/>
        </w:rPr>
        <w:t>4.</w:t>
      </w:r>
      <w:r>
        <w:rPr>
          <w:rStyle w:val="big-number"/>
          <w:rFonts w:cs="Miriam"/>
          <w:rtl/>
        </w:rPr>
        <w:tab/>
      </w:r>
      <w:r>
        <w:rPr>
          <w:rStyle w:val="default"/>
          <w:rFonts w:cs="FrankRuehl"/>
          <w:rtl/>
        </w:rPr>
        <w:t>אם</w:t>
      </w:r>
      <w:r>
        <w:rPr>
          <w:rStyle w:val="default"/>
          <w:rFonts w:cs="FrankRuehl" w:hint="cs"/>
          <w:rtl/>
        </w:rPr>
        <w:t>, לצורך קבלת רשיון ליבוא כל סחורה מן הסחורות הנזכרות בסעיף הקודם של צו זה, מוסר אדם כל הודעה או מגיש כל מסמך או ידיע</w:t>
      </w:r>
      <w:r>
        <w:rPr>
          <w:rStyle w:val="default"/>
          <w:rFonts w:cs="FrankRuehl"/>
          <w:rtl/>
        </w:rPr>
        <w:t xml:space="preserve">ה </w:t>
      </w:r>
      <w:r>
        <w:rPr>
          <w:rStyle w:val="default"/>
          <w:rFonts w:cs="FrankRuehl" w:hint="cs"/>
          <w:rtl/>
        </w:rPr>
        <w:t xml:space="preserve">כשהוא יודע שהם כוזבים בפרט חשוב, או </w:t>
      </w:r>
      <w:r>
        <w:rPr>
          <w:rStyle w:val="default"/>
          <w:rFonts w:cs="FrankRuehl" w:hint="cs"/>
          <w:rtl/>
        </w:rPr>
        <w:lastRenderedPageBreak/>
        <w:t>שמתוך קלות ראש הוא מוסר כל הודעה שהיא כוזבת בפרט חשוב, יהא אותו אדם אשם בעבירה</w:t>
      </w:r>
      <w:r>
        <w:rPr>
          <w:rStyle w:val="default"/>
          <w:rFonts w:cs="FrankRuehl"/>
          <w:rtl/>
        </w:rPr>
        <w:t xml:space="preserve"> </w:t>
      </w:r>
      <w:r>
        <w:rPr>
          <w:rStyle w:val="default"/>
          <w:rFonts w:cs="FrankRuehl" w:hint="cs"/>
          <w:rtl/>
        </w:rPr>
        <w:t>ויהא צפוי לאחר שיתחייב במשפט תכוף לקנס שלא יעלה על 500 לירות או למאסר שלא יעלה על ששה חדשים או לאותם קנס ומאסר כאחד, וכל רשיון שניתן להבאת</w:t>
      </w:r>
      <w:r>
        <w:rPr>
          <w:rStyle w:val="default"/>
          <w:rFonts w:cs="FrankRuehl"/>
          <w:rtl/>
        </w:rPr>
        <w:t xml:space="preserve"> </w:t>
      </w:r>
      <w:r>
        <w:rPr>
          <w:rStyle w:val="default"/>
          <w:rFonts w:cs="FrankRuehl" w:hint="cs"/>
          <w:rtl/>
        </w:rPr>
        <w:t>ס</w:t>
      </w:r>
      <w:r>
        <w:rPr>
          <w:rStyle w:val="default"/>
          <w:rFonts w:cs="FrankRuehl"/>
          <w:rtl/>
        </w:rPr>
        <w:t>ח</w:t>
      </w:r>
      <w:r>
        <w:rPr>
          <w:rStyle w:val="default"/>
          <w:rFonts w:cs="FrankRuehl" w:hint="cs"/>
          <w:rtl/>
        </w:rPr>
        <w:t>ורה על פי הודעה, מסמך או ידיעה כאמור יהיה בטל מיום נתינתו.</w:t>
      </w:r>
    </w:p>
    <w:p w14:paraId="32669235" w14:textId="77777777" w:rsidR="008B1568" w:rsidRPr="000F611E" w:rsidRDefault="008B1568" w:rsidP="00BF74BA">
      <w:pPr>
        <w:pStyle w:val="P00"/>
        <w:spacing w:before="0"/>
        <w:ind w:left="0" w:right="1134"/>
        <w:rPr>
          <w:rFonts w:cs="FrankRuehl" w:hint="cs"/>
          <w:b/>
          <w:bCs/>
          <w:vanish/>
          <w:szCs w:val="20"/>
          <w:shd w:val="clear" w:color="auto" w:fill="FFFF99"/>
          <w:rtl/>
        </w:rPr>
      </w:pPr>
      <w:bookmarkStart w:id="5" w:name="Rov10"/>
      <w:r w:rsidRPr="000F611E">
        <w:rPr>
          <w:rFonts w:cs="FrankRuehl" w:hint="cs"/>
          <w:vanish/>
          <w:color w:val="FF0000"/>
          <w:szCs w:val="20"/>
          <w:shd w:val="clear" w:color="auto" w:fill="FFFF99"/>
          <w:rtl/>
        </w:rPr>
        <w:t xml:space="preserve">מיום </w:t>
      </w:r>
      <w:r w:rsidR="00BF74BA" w:rsidRPr="000F611E">
        <w:rPr>
          <w:rFonts w:cs="FrankRuehl" w:hint="cs"/>
          <w:vanish/>
          <w:color w:val="FF0000"/>
          <w:szCs w:val="20"/>
          <w:shd w:val="clear" w:color="auto" w:fill="FFFF99"/>
          <w:rtl/>
        </w:rPr>
        <w:t>1</w:t>
      </w:r>
      <w:r w:rsidRPr="000F611E">
        <w:rPr>
          <w:rFonts w:cs="FrankRuehl" w:hint="cs"/>
          <w:vanish/>
          <w:color w:val="FF0000"/>
          <w:szCs w:val="20"/>
          <w:shd w:val="clear" w:color="auto" w:fill="FFFF99"/>
          <w:rtl/>
        </w:rPr>
        <w:t>.</w:t>
      </w:r>
      <w:r w:rsidR="00BF74BA" w:rsidRPr="000F611E">
        <w:rPr>
          <w:rFonts w:cs="FrankRuehl" w:hint="cs"/>
          <w:vanish/>
          <w:color w:val="FF0000"/>
          <w:szCs w:val="20"/>
          <w:shd w:val="clear" w:color="auto" w:fill="FFFF99"/>
          <w:rtl/>
        </w:rPr>
        <w:t>4</w:t>
      </w:r>
      <w:r w:rsidRPr="000F611E">
        <w:rPr>
          <w:rFonts w:cs="FrankRuehl" w:hint="cs"/>
          <w:vanish/>
          <w:color w:val="FF0000"/>
          <w:szCs w:val="20"/>
          <w:shd w:val="clear" w:color="auto" w:fill="FFFF99"/>
          <w:rtl/>
        </w:rPr>
        <w:t>.</w:t>
      </w:r>
      <w:r w:rsidR="00BF74BA" w:rsidRPr="000F611E">
        <w:rPr>
          <w:rFonts w:cs="FrankRuehl" w:hint="cs"/>
          <w:vanish/>
          <w:color w:val="FF0000"/>
          <w:szCs w:val="20"/>
          <w:shd w:val="clear" w:color="auto" w:fill="FFFF99"/>
          <w:rtl/>
        </w:rPr>
        <w:t>1954</w:t>
      </w:r>
    </w:p>
    <w:p w14:paraId="2403C822" w14:textId="77777777" w:rsidR="008B1568" w:rsidRPr="000F611E" w:rsidRDefault="00BF74BA" w:rsidP="00BF74BA">
      <w:pPr>
        <w:pStyle w:val="P00"/>
        <w:spacing w:before="0"/>
        <w:ind w:left="0" w:right="1134"/>
        <w:rPr>
          <w:rFonts w:cs="FrankRuehl" w:hint="cs"/>
          <w:b/>
          <w:bCs/>
          <w:vanish/>
          <w:szCs w:val="20"/>
          <w:shd w:val="clear" w:color="auto" w:fill="FFFF99"/>
          <w:rtl/>
        </w:rPr>
      </w:pPr>
      <w:r w:rsidRPr="000F611E">
        <w:rPr>
          <w:rFonts w:cs="FrankRuehl" w:hint="cs"/>
          <w:b/>
          <w:bCs/>
          <w:vanish/>
          <w:szCs w:val="20"/>
          <w:shd w:val="clear" w:color="auto" w:fill="FFFF99"/>
          <w:rtl/>
        </w:rPr>
        <w:t>צו תשי"ד</w:t>
      </w:r>
      <w:r w:rsidR="008B1568" w:rsidRPr="000F611E">
        <w:rPr>
          <w:rFonts w:cs="FrankRuehl" w:hint="cs"/>
          <w:b/>
          <w:bCs/>
          <w:vanish/>
          <w:szCs w:val="20"/>
          <w:shd w:val="clear" w:color="auto" w:fill="FFFF99"/>
          <w:rtl/>
        </w:rPr>
        <w:t>-</w:t>
      </w:r>
      <w:r w:rsidRPr="000F611E">
        <w:rPr>
          <w:rFonts w:cs="FrankRuehl" w:hint="cs"/>
          <w:b/>
          <w:bCs/>
          <w:vanish/>
          <w:szCs w:val="20"/>
          <w:shd w:val="clear" w:color="auto" w:fill="FFFF99"/>
          <w:rtl/>
        </w:rPr>
        <w:t>1954</w:t>
      </w:r>
    </w:p>
    <w:p w14:paraId="402181C4" w14:textId="77777777" w:rsidR="008B1568" w:rsidRPr="000F611E" w:rsidRDefault="00BF74BA" w:rsidP="008858B6">
      <w:pPr>
        <w:pStyle w:val="P00"/>
        <w:spacing w:before="0"/>
        <w:ind w:left="0" w:right="1134"/>
        <w:rPr>
          <w:rFonts w:cs="FrankRuehl" w:hint="cs"/>
          <w:vanish/>
          <w:szCs w:val="20"/>
          <w:shd w:val="clear" w:color="auto" w:fill="FFFF99"/>
          <w:rtl/>
        </w:rPr>
      </w:pPr>
      <w:hyperlink r:id="rId7" w:history="1">
        <w:r w:rsidRPr="000F611E">
          <w:rPr>
            <w:rStyle w:val="Hyperlink"/>
            <w:rFonts w:cs="FrankRuehl" w:hint="cs"/>
            <w:vanish/>
            <w:szCs w:val="20"/>
            <w:shd w:val="clear" w:color="auto" w:fill="FFFF99"/>
            <w:rtl/>
          </w:rPr>
          <w:t>ק</w:t>
        </w:r>
        <w:r w:rsidRPr="000F611E">
          <w:rPr>
            <w:rStyle w:val="Hyperlink"/>
            <w:rFonts w:cs="FrankRuehl"/>
            <w:vanish/>
            <w:szCs w:val="20"/>
            <w:shd w:val="clear" w:color="auto" w:fill="FFFF99"/>
            <w:rtl/>
          </w:rPr>
          <w:t>"</w:t>
        </w:r>
        <w:r w:rsidRPr="000F611E">
          <w:rPr>
            <w:rStyle w:val="Hyperlink"/>
            <w:rFonts w:cs="FrankRuehl" w:hint="cs"/>
            <w:vanish/>
            <w:szCs w:val="20"/>
            <w:shd w:val="clear" w:color="auto" w:fill="FFFF99"/>
            <w:rtl/>
          </w:rPr>
          <w:t>ת תשי"ד מס' 437</w:t>
        </w:r>
      </w:hyperlink>
      <w:r w:rsidR="008B1568" w:rsidRPr="000F611E">
        <w:rPr>
          <w:rFonts w:cs="FrankRuehl" w:hint="cs"/>
          <w:vanish/>
          <w:szCs w:val="20"/>
          <w:shd w:val="clear" w:color="auto" w:fill="FFFF99"/>
          <w:rtl/>
        </w:rPr>
        <w:t xml:space="preserve"> מיום </w:t>
      </w:r>
      <w:r w:rsidRPr="000F611E">
        <w:rPr>
          <w:rFonts w:cs="FrankRuehl" w:hint="cs"/>
          <w:vanish/>
          <w:szCs w:val="20"/>
          <w:shd w:val="clear" w:color="auto" w:fill="FFFF99"/>
          <w:rtl/>
        </w:rPr>
        <w:t>1</w:t>
      </w:r>
      <w:r w:rsidR="008B1568" w:rsidRPr="000F611E">
        <w:rPr>
          <w:rFonts w:cs="FrankRuehl" w:hint="cs"/>
          <w:vanish/>
          <w:szCs w:val="20"/>
          <w:shd w:val="clear" w:color="auto" w:fill="FFFF99"/>
          <w:rtl/>
        </w:rPr>
        <w:t>.</w:t>
      </w:r>
      <w:r w:rsidR="008858B6" w:rsidRPr="000F611E">
        <w:rPr>
          <w:rFonts w:cs="FrankRuehl" w:hint="cs"/>
          <w:vanish/>
          <w:szCs w:val="20"/>
          <w:shd w:val="clear" w:color="auto" w:fill="FFFF99"/>
          <w:rtl/>
        </w:rPr>
        <w:t>4</w:t>
      </w:r>
      <w:r w:rsidR="008B1568" w:rsidRPr="000F611E">
        <w:rPr>
          <w:rFonts w:cs="FrankRuehl" w:hint="cs"/>
          <w:vanish/>
          <w:szCs w:val="20"/>
          <w:shd w:val="clear" w:color="auto" w:fill="FFFF99"/>
          <w:rtl/>
        </w:rPr>
        <w:t>.</w:t>
      </w:r>
      <w:r w:rsidRPr="000F611E">
        <w:rPr>
          <w:rFonts w:cs="FrankRuehl" w:hint="cs"/>
          <w:vanish/>
          <w:szCs w:val="20"/>
          <w:shd w:val="clear" w:color="auto" w:fill="FFFF99"/>
          <w:rtl/>
        </w:rPr>
        <w:t>1954</w:t>
      </w:r>
      <w:r w:rsidR="008B1568" w:rsidRPr="000F611E">
        <w:rPr>
          <w:rFonts w:cs="FrankRuehl" w:hint="cs"/>
          <w:vanish/>
          <w:szCs w:val="20"/>
          <w:shd w:val="clear" w:color="auto" w:fill="FFFF99"/>
          <w:rtl/>
        </w:rPr>
        <w:t xml:space="preserve"> עמ' </w:t>
      </w:r>
      <w:r w:rsidRPr="000F611E">
        <w:rPr>
          <w:rFonts w:cs="FrankRuehl" w:hint="cs"/>
          <w:vanish/>
          <w:szCs w:val="20"/>
          <w:shd w:val="clear" w:color="auto" w:fill="FFFF99"/>
          <w:rtl/>
        </w:rPr>
        <w:t>598</w:t>
      </w:r>
    </w:p>
    <w:p w14:paraId="607C05A2" w14:textId="77777777" w:rsidR="002D6207" w:rsidRPr="00AF0A3E" w:rsidRDefault="002D6207" w:rsidP="000F611E">
      <w:pPr>
        <w:pStyle w:val="P00"/>
        <w:ind w:left="0" w:right="1134"/>
        <w:rPr>
          <w:rStyle w:val="default"/>
          <w:rFonts w:cs="FrankRuehl" w:hint="cs"/>
          <w:sz w:val="2"/>
          <w:szCs w:val="2"/>
          <w:rtl/>
        </w:rPr>
      </w:pPr>
      <w:r w:rsidRPr="000F611E">
        <w:rPr>
          <w:rStyle w:val="big-number"/>
          <w:rFonts w:cs="FrankRuehl"/>
          <w:vanish/>
          <w:sz w:val="22"/>
          <w:szCs w:val="22"/>
          <w:shd w:val="clear" w:color="auto" w:fill="FFFF99"/>
          <w:rtl/>
        </w:rPr>
        <w:t>4.</w:t>
      </w:r>
      <w:r w:rsidRPr="000F611E">
        <w:rPr>
          <w:rStyle w:val="big-number"/>
          <w:rFonts w:cs="FrankRuehl"/>
          <w:vanish/>
          <w:sz w:val="22"/>
          <w:szCs w:val="22"/>
          <w:shd w:val="clear" w:color="auto" w:fill="FFFF99"/>
          <w:rtl/>
        </w:rPr>
        <w:tab/>
      </w:r>
      <w:r w:rsidRPr="000F611E">
        <w:rPr>
          <w:rStyle w:val="default"/>
          <w:rFonts w:cs="FrankRuehl"/>
          <w:vanish/>
          <w:sz w:val="22"/>
          <w:szCs w:val="22"/>
          <w:shd w:val="clear" w:color="auto" w:fill="FFFF99"/>
          <w:rtl/>
        </w:rPr>
        <w:t>אם</w:t>
      </w:r>
      <w:r w:rsidRPr="000F611E">
        <w:rPr>
          <w:rStyle w:val="default"/>
          <w:rFonts w:cs="FrankRuehl" w:hint="cs"/>
          <w:vanish/>
          <w:sz w:val="22"/>
          <w:szCs w:val="22"/>
          <w:shd w:val="clear" w:color="auto" w:fill="FFFF99"/>
          <w:rtl/>
        </w:rPr>
        <w:t>, לצורך קבלת רשיון ליבוא כל סחורה מן הסחורות הנזכרות בסעיף הקודם של צו זה, מוסר אדם כל הודעה או מגיש כל מסמך או ידיע</w:t>
      </w:r>
      <w:r w:rsidRPr="000F611E">
        <w:rPr>
          <w:rStyle w:val="default"/>
          <w:rFonts w:cs="FrankRuehl"/>
          <w:vanish/>
          <w:sz w:val="22"/>
          <w:szCs w:val="22"/>
          <w:shd w:val="clear" w:color="auto" w:fill="FFFF99"/>
          <w:rtl/>
        </w:rPr>
        <w:t xml:space="preserve">ה </w:t>
      </w:r>
      <w:r w:rsidRPr="000F611E">
        <w:rPr>
          <w:rStyle w:val="default"/>
          <w:rFonts w:cs="FrankRuehl" w:hint="cs"/>
          <w:vanish/>
          <w:sz w:val="22"/>
          <w:szCs w:val="22"/>
          <w:shd w:val="clear" w:color="auto" w:fill="FFFF99"/>
          <w:rtl/>
        </w:rPr>
        <w:t>כשהוא יודע שהם כוזבים בפרט חשוב, או שמתוך קלות ראש הוא מוסר כל הודעה שהיא כוזבת בפרט חשוב, יהא אותו אדם אשם בעבירה</w:t>
      </w:r>
      <w:r w:rsidRPr="000F611E">
        <w:rPr>
          <w:rStyle w:val="default"/>
          <w:rFonts w:cs="FrankRuehl"/>
          <w:vanish/>
          <w:sz w:val="22"/>
          <w:szCs w:val="22"/>
          <w:shd w:val="clear" w:color="auto" w:fill="FFFF99"/>
          <w:rtl/>
        </w:rPr>
        <w:t xml:space="preserve"> </w:t>
      </w:r>
      <w:r w:rsidRPr="000F611E">
        <w:rPr>
          <w:rStyle w:val="default"/>
          <w:rFonts w:cs="FrankRuehl" w:hint="cs"/>
          <w:vanish/>
          <w:sz w:val="22"/>
          <w:szCs w:val="22"/>
          <w:shd w:val="clear" w:color="auto" w:fill="FFFF99"/>
          <w:rtl/>
        </w:rPr>
        <w:t>ויהא צפוי לאחר שיתחייב במשפט תכוף לקנס שלא יעלה על 500 לירות או למאסר שלא יעלה על ששה חדשים או לאותם קנס ומאסר כאחד</w:t>
      </w:r>
      <w:r w:rsidR="00D401DA" w:rsidRPr="000F611E">
        <w:rPr>
          <w:rStyle w:val="default"/>
          <w:rFonts w:cs="FrankRuehl" w:hint="cs"/>
          <w:vanish/>
          <w:sz w:val="22"/>
          <w:szCs w:val="22"/>
          <w:u w:val="single"/>
          <w:shd w:val="clear" w:color="auto" w:fill="FFFF99"/>
          <w:rtl/>
        </w:rPr>
        <w:t>;</w:t>
      </w:r>
      <w:r w:rsidRPr="000F611E">
        <w:rPr>
          <w:rStyle w:val="default"/>
          <w:rFonts w:cs="FrankRuehl" w:hint="cs"/>
          <w:vanish/>
          <w:sz w:val="22"/>
          <w:szCs w:val="22"/>
          <w:u w:val="single"/>
          <w:shd w:val="clear" w:color="auto" w:fill="FFFF99"/>
          <w:rtl/>
        </w:rPr>
        <w:t xml:space="preserve"> וכל רשיון שניתן להבאת</w:t>
      </w:r>
      <w:r w:rsidRPr="000F611E">
        <w:rPr>
          <w:rStyle w:val="default"/>
          <w:rFonts w:cs="FrankRuehl"/>
          <w:vanish/>
          <w:sz w:val="22"/>
          <w:szCs w:val="22"/>
          <w:u w:val="single"/>
          <w:shd w:val="clear" w:color="auto" w:fill="FFFF99"/>
          <w:rtl/>
        </w:rPr>
        <w:t xml:space="preserve"> </w:t>
      </w:r>
      <w:r w:rsidRPr="000F611E">
        <w:rPr>
          <w:rStyle w:val="default"/>
          <w:rFonts w:cs="FrankRuehl" w:hint="cs"/>
          <w:vanish/>
          <w:sz w:val="22"/>
          <w:szCs w:val="22"/>
          <w:u w:val="single"/>
          <w:shd w:val="clear" w:color="auto" w:fill="FFFF99"/>
          <w:rtl/>
        </w:rPr>
        <w:t>ס</w:t>
      </w:r>
      <w:r w:rsidRPr="000F611E">
        <w:rPr>
          <w:rStyle w:val="default"/>
          <w:rFonts w:cs="FrankRuehl"/>
          <w:vanish/>
          <w:sz w:val="22"/>
          <w:szCs w:val="22"/>
          <w:u w:val="single"/>
          <w:shd w:val="clear" w:color="auto" w:fill="FFFF99"/>
          <w:rtl/>
        </w:rPr>
        <w:t>ח</w:t>
      </w:r>
      <w:r w:rsidRPr="000F611E">
        <w:rPr>
          <w:rStyle w:val="default"/>
          <w:rFonts w:cs="FrankRuehl" w:hint="cs"/>
          <w:vanish/>
          <w:sz w:val="22"/>
          <w:szCs w:val="22"/>
          <w:u w:val="single"/>
          <w:shd w:val="clear" w:color="auto" w:fill="FFFF99"/>
          <w:rtl/>
        </w:rPr>
        <w:t>ורה על פי הודעה, מסמך או ידיעה כאמור יהיה בטל מיום נתינתו</w:t>
      </w:r>
      <w:r w:rsidRPr="000F611E">
        <w:rPr>
          <w:rStyle w:val="default"/>
          <w:rFonts w:cs="FrankRuehl" w:hint="cs"/>
          <w:vanish/>
          <w:sz w:val="22"/>
          <w:szCs w:val="22"/>
          <w:shd w:val="clear" w:color="auto" w:fill="FFFF99"/>
          <w:rtl/>
        </w:rPr>
        <w:t>.</w:t>
      </w:r>
      <w:bookmarkEnd w:id="5"/>
    </w:p>
    <w:p w14:paraId="10F0F1FE" w14:textId="77777777" w:rsidR="00690D11" w:rsidRDefault="00690D11">
      <w:pPr>
        <w:pStyle w:val="P00"/>
        <w:spacing w:before="72"/>
        <w:ind w:left="0" w:right="1134"/>
        <w:rPr>
          <w:rStyle w:val="default"/>
          <w:rFonts w:cs="FrankRuehl"/>
          <w:rtl/>
        </w:rPr>
      </w:pPr>
      <w:bookmarkStart w:id="6" w:name="Seif4"/>
      <w:bookmarkEnd w:id="6"/>
      <w:r>
        <w:rPr>
          <w:lang w:val="he-IL"/>
        </w:rPr>
        <w:pict w14:anchorId="4C9CB2F4">
          <v:rect id="_x0000_s1030" style="position:absolute;left:0;text-align:left;margin-left:464.5pt;margin-top:8.05pt;width:75.05pt;height:13.9pt;z-index:251658240" o:allowincell="f" filled="f" stroked="f" strokecolor="lime" strokeweight=".25pt">
            <v:textbox style="mso-next-textbox:#_x0000_s1030" inset="0,0,0,0">
              <w:txbxContent>
                <w:p w14:paraId="49A409B4" w14:textId="77777777" w:rsidR="00690D11" w:rsidRDefault="00690D11">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1943</w:t>
                  </w:r>
                </w:p>
              </w:txbxContent>
            </v:textbox>
            <w10:anchorlock/>
          </v:rect>
        </w:pict>
      </w:r>
      <w:r>
        <w:rPr>
          <w:rStyle w:val="big-number"/>
          <w:rFonts w:cs="Miriam"/>
          <w:rtl/>
        </w:rPr>
        <w:t>5.</w:t>
      </w:r>
      <w:r>
        <w:rPr>
          <w:rStyle w:val="big-number"/>
          <w:rFonts w:cs="Miriam"/>
          <w:rtl/>
        </w:rPr>
        <w:tab/>
      </w:r>
      <w:r>
        <w:rPr>
          <w:rStyle w:val="default"/>
          <w:rFonts w:cs="FrankRuehl"/>
          <w:rtl/>
        </w:rPr>
        <w:t>(1)</w:t>
      </w:r>
      <w:r>
        <w:rPr>
          <w:rStyle w:val="default"/>
          <w:rFonts w:cs="FrankRuehl"/>
          <w:rtl/>
        </w:rPr>
        <w:tab/>
        <w:t>ר</w:t>
      </w:r>
      <w:r>
        <w:rPr>
          <w:rStyle w:val="default"/>
          <w:rFonts w:cs="FrankRuehl" w:hint="cs"/>
          <w:rtl/>
        </w:rPr>
        <w:t>שאי המנהל או כל רשות מוסמכת בכל עת, בלי ליתן כל נימוק למעשהו זה, לבטל כל רשיון או סוג של רשיון, שניתן עפ"י צו זה, לכל סחורה או סוג של סחורה שיבואה לישראל הותר עפ"י אותו רשיון או סוג של ר</w:t>
      </w:r>
      <w:r>
        <w:rPr>
          <w:rStyle w:val="default"/>
          <w:rFonts w:cs="FrankRuehl"/>
          <w:rtl/>
        </w:rPr>
        <w:t>שי</w:t>
      </w:r>
      <w:r>
        <w:rPr>
          <w:rStyle w:val="default"/>
          <w:rFonts w:cs="FrankRuehl" w:hint="cs"/>
          <w:rtl/>
        </w:rPr>
        <w:t>ון, או להפסיק את תקפו של אותו רשיון או סוג של רשיון, או לשנות את תנאיו או את תקופת תקפו.</w:t>
      </w:r>
    </w:p>
    <w:p w14:paraId="06806476" w14:textId="77777777" w:rsidR="00690D11" w:rsidRDefault="00690D11">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כ</w:t>
      </w:r>
      <w:r>
        <w:rPr>
          <w:rStyle w:val="default"/>
          <w:rFonts w:cs="FrankRuehl" w:hint="cs"/>
          <w:rtl/>
        </w:rPr>
        <w:t xml:space="preserve">ל ביטול, </w:t>
      </w:r>
      <w:r>
        <w:rPr>
          <w:rStyle w:val="default"/>
          <w:rFonts w:cs="FrankRuehl"/>
          <w:rtl/>
        </w:rPr>
        <w:t>ה</w:t>
      </w:r>
      <w:r>
        <w:rPr>
          <w:rStyle w:val="default"/>
          <w:rFonts w:cs="FrankRuehl" w:hint="cs"/>
          <w:rtl/>
        </w:rPr>
        <w:t>פסקה או שינוי כאלה כאמור לעיל, יוכלו להיעשות ע"י המנהל או ע"י כל רשות מוסמכת ע"י מודעה שתתפרסם ברשומות, ומשנתפרסמה מודעה זו רואים את כל האנשים שעליהם</w:t>
      </w:r>
      <w:r>
        <w:rPr>
          <w:rStyle w:val="default"/>
          <w:rFonts w:cs="FrankRuehl"/>
          <w:rtl/>
        </w:rPr>
        <w:t xml:space="preserve"> ה</w:t>
      </w:r>
      <w:r>
        <w:rPr>
          <w:rStyle w:val="default"/>
          <w:rFonts w:cs="FrankRuehl" w:hint="cs"/>
          <w:rtl/>
        </w:rPr>
        <w:t>יא חלה כאילו ידעו עליה, ועליהם למלא אחר כל תנאי או הוראה שהוטלו או שניתנו בקשר לביטול, להפסקת התוקף או לשינוי.</w:t>
      </w:r>
    </w:p>
    <w:p w14:paraId="069AA56A" w14:textId="77777777" w:rsidR="00690D11" w:rsidRDefault="00690D11">
      <w:pPr>
        <w:pStyle w:val="P00"/>
        <w:spacing w:before="72"/>
        <w:ind w:left="0" w:right="1134"/>
        <w:rPr>
          <w:rStyle w:val="default"/>
          <w:rFonts w:cs="FrankRuehl"/>
          <w:rtl/>
        </w:rPr>
      </w:pPr>
      <w:r>
        <w:rPr>
          <w:lang w:val="he-IL"/>
        </w:rPr>
        <w:pict w14:anchorId="328A1F6C">
          <v:rect id="_x0000_s1031" style="position:absolute;left:0;text-align:left;margin-left:464.5pt;margin-top:8.05pt;width:75.05pt;height:11.35pt;z-index:251659264" o:allowincell="f" filled="f" stroked="f" strokecolor="lime" strokeweight=".25pt">
            <v:textbox style="mso-next-textbox:#_x0000_s1031" inset="0,0,0,0">
              <w:txbxContent>
                <w:p w14:paraId="03D3F22E" w14:textId="77777777" w:rsidR="00690D11" w:rsidRDefault="00690D11">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(מס' 2) 1942</w:t>
                  </w:r>
                </w:p>
              </w:txbxContent>
            </v:textbox>
            <w10:anchorlock/>
          </v:rect>
        </w:pict>
      </w:r>
      <w:r>
        <w:rPr>
          <w:rStyle w:val="big-number"/>
          <w:rFonts w:cs="Miriam"/>
          <w:rtl/>
        </w:rPr>
        <w:t>5</w:t>
      </w:r>
      <w:r>
        <w:rPr>
          <w:rStyle w:val="default"/>
          <w:rFonts w:cs="FrankRuehl"/>
          <w:rtl/>
        </w:rPr>
        <w:t>א.</w:t>
      </w:r>
      <w:r>
        <w:rPr>
          <w:rStyle w:val="default"/>
          <w:rFonts w:cs="FrankRuehl"/>
          <w:rtl/>
        </w:rPr>
        <w:tab/>
        <w:t>כ</w:t>
      </w:r>
      <w:r>
        <w:rPr>
          <w:rStyle w:val="default"/>
          <w:rFonts w:cs="FrankRuehl" w:hint="cs"/>
          <w:rtl/>
        </w:rPr>
        <w:t xml:space="preserve">ל הרשיונות שניתנו לפני 1 בנובמבר, 1941, ע"י מנהל מחלקת המכס, האקסייז והמסחר לצורך יבואה לארץ-ישראל של כל סחורה שלא הוצאה מארץ המוצא לפני </w:t>
      </w:r>
      <w:r>
        <w:rPr>
          <w:rStyle w:val="default"/>
          <w:rFonts w:cs="FrankRuehl"/>
          <w:rtl/>
        </w:rPr>
        <w:t>1 ב</w:t>
      </w:r>
      <w:r>
        <w:rPr>
          <w:rStyle w:val="default"/>
          <w:rFonts w:cs="FrankRuehl" w:hint="cs"/>
          <w:rtl/>
        </w:rPr>
        <w:t>נובמבר, 1942, מבוטלים בזה, ויבואה של כל סחורה כזאת לישראל נאסרת בזה.</w:t>
      </w:r>
    </w:p>
    <w:p w14:paraId="75C87CDE" w14:textId="77777777" w:rsidR="00690D11" w:rsidRDefault="00690D11">
      <w:pPr>
        <w:pStyle w:val="P00"/>
        <w:spacing w:before="72"/>
        <w:ind w:left="0" w:right="1134"/>
        <w:rPr>
          <w:rStyle w:val="default"/>
          <w:rFonts w:cs="FrankRuehl"/>
          <w:rtl/>
        </w:rPr>
      </w:pPr>
      <w:r>
        <w:rPr>
          <w:rStyle w:val="big-number"/>
          <w:rFonts w:cs="Miriam"/>
          <w:rtl/>
        </w:rPr>
        <w:t>6.</w:t>
      </w:r>
      <w:r>
        <w:rPr>
          <w:rStyle w:val="big-number"/>
          <w:rFonts w:cs="Miriam"/>
          <w:rtl/>
        </w:rPr>
        <w:tab/>
      </w:r>
      <w:r>
        <w:rPr>
          <w:rStyle w:val="default"/>
          <w:rFonts w:cs="FrankRuehl"/>
          <w:rtl/>
        </w:rPr>
        <w:t>למ</w:t>
      </w:r>
      <w:r>
        <w:rPr>
          <w:rStyle w:val="default"/>
          <w:rFonts w:cs="FrankRuehl" w:hint="cs"/>
          <w:rtl/>
        </w:rPr>
        <w:t xml:space="preserve">נהל או לכל </w:t>
      </w:r>
      <w:r>
        <w:rPr>
          <w:rStyle w:val="default"/>
          <w:rFonts w:cs="FrankRuehl"/>
          <w:rtl/>
        </w:rPr>
        <w:t>ר</w:t>
      </w:r>
      <w:r>
        <w:rPr>
          <w:rStyle w:val="default"/>
          <w:rFonts w:cs="FrankRuehl" w:hint="cs"/>
          <w:rtl/>
        </w:rPr>
        <w:t>שות מוסמכת תהא הסמכות לסרב ליתן כל רשיון לשם יבוא כל סחורה לישראל בלי שיתן כל טעם לסירובו זה.</w:t>
      </w:r>
    </w:p>
    <w:p w14:paraId="276B34AE" w14:textId="77777777" w:rsidR="00690D11" w:rsidRDefault="00690D11">
      <w:pPr>
        <w:pStyle w:val="P00"/>
        <w:spacing w:before="72"/>
        <w:ind w:left="0" w:right="1134"/>
        <w:rPr>
          <w:rStyle w:val="default"/>
          <w:rFonts w:cs="FrankRuehl" w:hint="cs"/>
          <w:rtl/>
        </w:rPr>
      </w:pPr>
      <w:r>
        <w:rPr>
          <w:rStyle w:val="big-number"/>
          <w:rFonts w:cs="Miriam"/>
          <w:rtl/>
        </w:rPr>
        <w:t>7.</w:t>
      </w:r>
      <w:r>
        <w:rPr>
          <w:rStyle w:val="big-number"/>
          <w:rFonts w:cs="Miriam"/>
          <w:rtl/>
        </w:rPr>
        <w:tab/>
      </w:r>
      <w:r>
        <w:rPr>
          <w:rStyle w:val="default"/>
          <w:rFonts w:cs="FrankRuehl"/>
          <w:rtl/>
        </w:rPr>
        <w:t>(ב</w:t>
      </w:r>
      <w:r>
        <w:rPr>
          <w:rStyle w:val="default"/>
          <w:rFonts w:cs="FrankRuehl" w:hint="cs"/>
          <w:rtl/>
        </w:rPr>
        <w:t>וטל).</w:t>
      </w:r>
    </w:p>
    <w:p w14:paraId="56D0BD91" w14:textId="77777777" w:rsidR="000F611E" w:rsidRDefault="000F611E">
      <w:pPr>
        <w:pStyle w:val="P00"/>
        <w:spacing w:before="72"/>
        <w:ind w:left="0" w:right="1134"/>
        <w:rPr>
          <w:rStyle w:val="default"/>
          <w:rFonts w:cs="FrankRuehl" w:hint="cs"/>
          <w:rtl/>
        </w:rPr>
      </w:pPr>
    </w:p>
    <w:p w14:paraId="21055305" w14:textId="77777777" w:rsidR="000F611E" w:rsidRPr="000F611E" w:rsidRDefault="00690D11" w:rsidP="000F611E">
      <w:pPr>
        <w:pStyle w:val="medium-header"/>
        <w:keepNext w:val="0"/>
        <w:keepLines w:val="0"/>
        <w:ind w:left="0" w:right="1134"/>
        <w:rPr>
          <w:rStyle w:val="default"/>
          <w:rFonts w:cs="FrankRuehl" w:hint="cs"/>
          <w:b/>
          <w:bCs/>
          <w:rtl/>
        </w:rPr>
      </w:pPr>
      <w:r w:rsidRPr="000F611E">
        <w:rPr>
          <w:b/>
          <w:bCs/>
          <w:lang w:val="he-IL"/>
        </w:rPr>
        <w:pict w14:anchorId="77E43179">
          <v:rect id="_x0000_s1032" style="position:absolute;left:0;text-align:left;margin-left:464.5pt;margin-top:8.05pt;width:75.05pt;height:13.6pt;z-index:251660288" o:allowincell="f" filled="f" stroked="f" strokecolor="lime" strokeweight=".25pt">
            <v:textbox style="mso-next-textbox:#_x0000_s1032" inset="0,0,0,0">
              <w:txbxContent>
                <w:p w14:paraId="63CC71FC" w14:textId="77777777" w:rsidR="00690D11" w:rsidRDefault="00690D11">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(מס' 3) 1942</w:t>
                  </w:r>
                </w:p>
              </w:txbxContent>
            </v:textbox>
            <w10:anchorlock/>
          </v:rect>
        </w:pict>
      </w:r>
      <w:r w:rsidRPr="000F611E">
        <w:rPr>
          <w:rStyle w:val="default"/>
          <w:rFonts w:cs="FrankRuehl"/>
          <w:b/>
          <w:bCs/>
          <w:rtl/>
        </w:rPr>
        <w:t>ת</w:t>
      </w:r>
      <w:r w:rsidR="000F611E" w:rsidRPr="000F611E">
        <w:rPr>
          <w:rStyle w:val="default"/>
          <w:rFonts w:cs="FrankRuehl" w:hint="cs"/>
          <w:b/>
          <w:bCs/>
          <w:rtl/>
        </w:rPr>
        <w:t>וספת</w:t>
      </w:r>
    </w:p>
    <w:p w14:paraId="644EBD82" w14:textId="77777777" w:rsidR="00690D11" w:rsidRPr="000F611E" w:rsidRDefault="00690D11">
      <w:pPr>
        <w:pStyle w:val="medium-header"/>
        <w:keepNext w:val="0"/>
        <w:keepLines w:val="0"/>
        <w:ind w:left="0" w:right="1134"/>
        <w:rPr>
          <w:rFonts w:cs="FrankRuehl"/>
          <w:sz w:val="24"/>
          <w:szCs w:val="24"/>
          <w:rtl/>
        </w:rPr>
      </w:pPr>
      <w:r w:rsidRPr="000F611E">
        <w:rPr>
          <w:rFonts w:cs="FrankRuehl"/>
          <w:sz w:val="24"/>
          <w:szCs w:val="24"/>
          <w:rtl/>
        </w:rPr>
        <w:t>(ב</w:t>
      </w:r>
      <w:r w:rsidRPr="000F611E">
        <w:rPr>
          <w:rFonts w:cs="FrankRuehl" w:hint="cs"/>
          <w:sz w:val="24"/>
          <w:szCs w:val="24"/>
          <w:rtl/>
        </w:rPr>
        <w:t>וטלה)</w:t>
      </w:r>
    </w:p>
    <w:p w14:paraId="3BC90423" w14:textId="77777777" w:rsidR="00690D11" w:rsidRDefault="00690D11" w:rsidP="000F611E">
      <w:pPr>
        <w:pStyle w:val="P00"/>
        <w:spacing w:before="72"/>
        <w:ind w:left="0" w:right="1134"/>
        <w:rPr>
          <w:rStyle w:val="default"/>
          <w:rFonts w:cs="FrankRuehl" w:hint="cs"/>
          <w:rtl/>
        </w:rPr>
      </w:pPr>
    </w:p>
    <w:p w14:paraId="29B07960" w14:textId="77777777" w:rsidR="000F611E" w:rsidRPr="000F611E" w:rsidRDefault="000F611E" w:rsidP="000F611E">
      <w:pPr>
        <w:pStyle w:val="P00"/>
        <w:spacing w:before="72"/>
        <w:ind w:left="0" w:right="1134"/>
        <w:rPr>
          <w:rStyle w:val="default"/>
          <w:rFonts w:cs="FrankRuehl" w:hint="cs"/>
          <w:rtl/>
        </w:rPr>
      </w:pPr>
    </w:p>
    <w:p w14:paraId="722D165D" w14:textId="77777777" w:rsidR="00690D11" w:rsidRPr="000F611E" w:rsidRDefault="00690D11" w:rsidP="000F611E">
      <w:pPr>
        <w:pStyle w:val="P00"/>
        <w:spacing w:before="72"/>
        <w:ind w:left="0" w:right="1134"/>
        <w:rPr>
          <w:rStyle w:val="default"/>
          <w:rFonts w:cs="FrankRuehl"/>
          <w:rtl/>
        </w:rPr>
      </w:pPr>
      <w:bookmarkStart w:id="7" w:name="LawPartEnd"/>
    </w:p>
    <w:bookmarkEnd w:id="7"/>
    <w:p w14:paraId="46BFDA5B" w14:textId="77777777" w:rsidR="001E3B0A" w:rsidRDefault="001E3B0A" w:rsidP="000F611E">
      <w:pPr>
        <w:pStyle w:val="P00"/>
        <w:spacing w:before="72"/>
        <w:ind w:left="0" w:right="1134"/>
        <w:rPr>
          <w:rStyle w:val="default"/>
          <w:rFonts w:cs="FrankRuehl"/>
          <w:rtl/>
        </w:rPr>
      </w:pPr>
    </w:p>
    <w:p w14:paraId="4928B68A" w14:textId="77777777" w:rsidR="001E3B0A" w:rsidRDefault="001E3B0A" w:rsidP="000F611E">
      <w:pPr>
        <w:pStyle w:val="P00"/>
        <w:spacing w:before="72"/>
        <w:ind w:left="0" w:right="1134"/>
        <w:rPr>
          <w:rStyle w:val="default"/>
          <w:rFonts w:cs="FrankRuehl"/>
          <w:rtl/>
        </w:rPr>
      </w:pPr>
    </w:p>
    <w:p w14:paraId="39EFB209" w14:textId="77777777" w:rsidR="001E3B0A" w:rsidRDefault="001E3B0A" w:rsidP="001E3B0A">
      <w:pPr>
        <w:pStyle w:val="P00"/>
        <w:spacing w:before="72"/>
        <w:ind w:left="0" w:right="1134"/>
        <w:jc w:val="center"/>
        <w:rPr>
          <w:rStyle w:val="default"/>
          <w:rFonts w:cs="David"/>
          <w:color w:val="0000FF"/>
          <w:szCs w:val="24"/>
          <w:u w:val="single"/>
          <w:rtl/>
        </w:rPr>
      </w:pPr>
      <w:hyperlink r:id="rId8" w:history="1">
        <w:r>
          <w:rPr>
            <w:rStyle w:val="default"/>
            <w:rFonts w:cs="David"/>
            <w:color w:val="0000FF"/>
            <w:szCs w:val="24"/>
            <w:u w:val="single"/>
            <w:rtl/>
          </w:rPr>
          <w:t>הודעה למנויים על עריכה ושינויים במסמכי פסיקה, חקיקה ועוד באתר נבו - הקש כאן</w:t>
        </w:r>
      </w:hyperlink>
    </w:p>
    <w:p w14:paraId="3B8DDE4F" w14:textId="77777777" w:rsidR="00A2747E" w:rsidRDefault="00A2747E" w:rsidP="001E3B0A">
      <w:pPr>
        <w:pStyle w:val="P00"/>
        <w:spacing w:before="72"/>
        <w:ind w:left="0" w:right="1134"/>
        <w:jc w:val="center"/>
        <w:rPr>
          <w:rStyle w:val="default"/>
          <w:rFonts w:cs="David"/>
          <w:color w:val="0000FF"/>
          <w:szCs w:val="24"/>
          <w:u w:val="single"/>
          <w:rtl/>
        </w:rPr>
      </w:pPr>
    </w:p>
    <w:p w14:paraId="4C964AC6" w14:textId="77777777" w:rsidR="00A2747E" w:rsidRDefault="00A2747E" w:rsidP="001E3B0A">
      <w:pPr>
        <w:pStyle w:val="P00"/>
        <w:spacing w:before="72"/>
        <w:ind w:left="0" w:right="1134"/>
        <w:jc w:val="center"/>
        <w:rPr>
          <w:rStyle w:val="default"/>
          <w:rFonts w:cs="David"/>
          <w:color w:val="0000FF"/>
          <w:szCs w:val="24"/>
          <w:u w:val="single"/>
          <w:rtl/>
        </w:rPr>
      </w:pPr>
    </w:p>
    <w:p w14:paraId="3CBF721C" w14:textId="77777777" w:rsidR="00A2747E" w:rsidRDefault="00A2747E" w:rsidP="00A2747E">
      <w:pPr>
        <w:pStyle w:val="P00"/>
        <w:spacing w:before="72"/>
        <w:ind w:left="0" w:right="1134"/>
        <w:jc w:val="center"/>
        <w:rPr>
          <w:rStyle w:val="default"/>
          <w:rFonts w:cs="David"/>
          <w:color w:val="0000FF"/>
          <w:szCs w:val="24"/>
          <w:u w:val="single"/>
          <w:rtl/>
        </w:rPr>
      </w:pPr>
      <w:hyperlink r:id="rId9" w:history="1">
        <w:r>
          <w:rPr>
            <w:rStyle w:val="default"/>
            <w:rFonts w:cs="David"/>
            <w:color w:val="0000FF"/>
            <w:szCs w:val="24"/>
            <w:u w:val="single"/>
            <w:rtl/>
          </w:rPr>
          <w:t>הודעה למנויים על עריכה ושינויים במסמכי פסיקה, חקיקה ועוד באתר נבו - הקש כאן</w:t>
        </w:r>
      </w:hyperlink>
    </w:p>
    <w:p w14:paraId="17897065" w14:textId="77777777" w:rsidR="00690D11" w:rsidRPr="00A2747E" w:rsidRDefault="00690D11" w:rsidP="00A2747E">
      <w:pPr>
        <w:pStyle w:val="P00"/>
        <w:spacing w:before="72"/>
        <w:ind w:left="0" w:right="1134"/>
        <w:jc w:val="center"/>
        <w:rPr>
          <w:rStyle w:val="default"/>
          <w:rFonts w:cs="David"/>
          <w:color w:val="0000FF"/>
          <w:szCs w:val="24"/>
          <w:u w:val="single"/>
          <w:rtl/>
        </w:rPr>
      </w:pPr>
    </w:p>
    <w:sectPr w:rsidR="00690D11" w:rsidRPr="00A2747E">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BDF03" w14:textId="77777777" w:rsidR="00F37231" w:rsidRDefault="00F37231">
      <w:pPr>
        <w:spacing w:line="240" w:lineRule="auto"/>
      </w:pPr>
      <w:r>
        <w:separator/>
      </w:r>
    </w:p>
  </w:endnote>
  <w:endnote w:type="continuationSeparator" w:id="0">
    <w:p w14:paraId="694DBF2B" w14:textId="77777777" w:rsidR="00F37231" w:rsidRDefault="00F372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2C768" w14:textId="77777777" w:rsidR="00690D11" w:rsidRDefault="00690D1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168CA35" w14:textId="77777777" w:rsidR="00690D11" w:rsidRDefault="00690D1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C221C9B" w14:textId="77777777" w:rsidR="00690D11" w:rsidRDefault="00690D1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2747E">
      <w:rPr>
        <w:rFonts w:cs="TopType Jerushalmi"/>
        <w:noProof/>
        <w:color w:val="000000"/>
        <w:sz w:val="14"/>
        <w:szCs w:val="14"/>
      </w:rPr>
      <w:t>Z:\00000000000000000000000=2014------------------------\LawsForTableRun\04\265_036.doc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9ACEB" w14:textId="77777777" w:rsidR="00690D11" w:rsidRDefault="00690D1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2747E">
      <w:rPr>
        <w:rFonts w:hAnsi="FrankRuehl" w:cs="FrankRuehl"/>
        <w:noProof/>
        <w:sz w:val="24"/>
        <w:szCs w:val="24"/>
        <w:rtl/>
      </w:rPr>
      <w:t>2</w:t>
    </w:r>
    <w:r>
      <w:rPr>
        <w:rFonts w:hAnsi="FrankRuehl" w:cs="FrankRuehl"/>
        <w:sz w:val="24"/>
        <w:szCs w:val="24"/>
        <w:rtl/>
      </w:rPr>
      <w:fldChar w:fldCharType="end"/>
    </w:r>
  </w:p>
  <w:p w14:paraId="6B4BB033" w14:textId="77777777" w:rsidR="00690D11" w:rsidRDefault="00690D1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1B385E5" w14:textId="77777777" w:rsidR="00690D11" w:rsidRDefault="00690D1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2747E">
      <w:rPr>
        <w:rFonts w:cs="TopType Jerushalmi"/>
        <w:noProof/>
        <w:color w:val="000000"/>
        <w:sz w:val="14"/>
        <w:szCs w:val="14"/>
      </w:rPr>
      <w:t>Z:\00000000000000000000000=2014------------------------\LawsForTableRun\04\265_036.doc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AD47D" w14:textId="77777777" w:rsidR="00F37231" w:rsidRDefault="00F37231" w:rsidP="00CA1F53">
      <w:pPr>
        <w:spacing w:before="60" w:line="240" w:lineRule="auto"/>
        <w:ind w:right="1134"/>
      </w:pPr>
      <w:r>
        <w:separator/>
      </w:r>
    </w:p>
  </w:footnote>
  <w:footnote w:type="continuationSeparator" w:id="0">
    <w:p w14:paraId="0DEA37DD" w14:textId="77777777" w:rsidR="00F37231" w:rsidRDefault="00F37231">
      <w:pPr>
        <w:spacing w:line="240" w:lineRule="auto"/>
      </w:pPr>
      <w:r>
        <w:continuationSeparator/>
      </w:r>
    </w:p>
  </w:footnote>
  <w:footnote w:id="1">
    <w:p w14:paraId="76429CFE" w14:textId="77777777" w:rsidR="00CA1F53" w:rsidRDefault="00CA1F53" w:rsidP="00CA1F5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CA1F53">
        <w:rPr>
          <w:rFonts w:cs="FrankRuehl"/>
          <w:rtl/>
        </w:rPr>
        <w:t xml:space="preserve">* </w:t>
      </w:r>
      <w:r>
        <w:rPr>
          <w:rFonts w:cs="FrankRuehl"/>
          <w:rtl/>
        </w:rPr>
        <w:t>פו</w:t>
      </w:r>
      <w:r>
        <w:rPr>
          <w:rFonts w:cs="FrankRuehl" w:hint="cs"/>
          <w:rtl/>
        </w:rPr>
        <w:t>רסם ע"ר מס' 968 מיום 11.12.1939, תוס' 2, עמ' (ע) 1201, (א) 1</w:t>
      </w:r>
      <w:r>
        <w:rPr>
          <w:rFonts w:cs="FrankRuehl"/>
          <w:rtl/>
        </w:rPr>
        <w:t>425.</w:t>
      </w:r>
    </w:p>
    <w:p w14:paraId="748DB581" w14:textId="77777777" w:rsidR="00CA1F53" w:rsidRDefault="00CA1F53" w:rsidP="00CA1F5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קן ע"ר מס' 1031 מיום 18.7.1940, תוס' 2, עמ' (ע) 832, (א) 964.</w:t>
      </w:r>
    </w:p>
    <w:p w14:paraId="7B79122B" w14:textId="77777777" w:rsidR="00CA1F53" w:rsidRDefault="00CA1F53" w:rsidP="00CA1F5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ע</w:t>
      </w:r>
      <w:r>
        <w:rPr>
          <w:rFonts w:cs="FrankRuehl"/>
          <w:rtl/>
        </w:rPr>
        <w:t>"</w:t>
      </w:r>
      <w:r>
        <w:rPr>
          <w:rFonts w:cs="FrankRuehl" w:hint="cs"/>
          <w:rtl/>
        </w:rPr>
        <w:t>ר מס' 1210 מיום 16.7.1942, תוס' 2, עמ' (ע) 994, (א) 1174 (צו 1942).</w:t>
      </w:r>
    </w:p>
    <w:p w14:paraId="6EBAE2A5" w14:textId="77777777" w:rsidR="00CA1F53" w:rsidRDefault="00CA1F53" w:rsidP="00CA1F5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ע</w:t>
      </w:r>
      <w:r>
        <w:rPr>
          <w:rFonts w:cs="FrankRuehl"/>
          <w:rtl/>
        </w:rPr>
        <w:t>"</w:t>
      </w:r>
      <w:r>
        <w:rPr>
          <w:rFonts w:cs="FrankRuehl" w:hint="cs"/>
          <w:rtl/>
        </w:rPr>
        <w:t>ר מס' 1233 מיום 12.11.1942, תוס' 2, עמ' (ע) 1459, (א) 1733 (צו (מס' 2) 1942).</w:t>
      </w:r>
    </w:p>
    <w:p w14:paraId="1295CADB" w14:textId="77777777" w:rsidR="00CA1F53" w:rsidRDefault="00CA1F53" w:rsidP="00CA1F5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ע</w:t>
      </w:r>
      <w:r>
        <w:rPr>
          <w:rFonts w:cs="FrankRuehl"/>
          <w:rtl/>
        </w:rPr>
        <w:t>"</w:t>
      </w:r>
      <w:r>
        <w:rPr>
          <w:rFonts w:cs="FrankRuehl" w:hint="cs"/>
          <w:rtl/>
        </w:rPr>
        <w:t>ר מס' 1239 מיום 24.12.1942, תוס' 2,</w:t>
      </w:r>
      <w:r>
        <w:rPr>
          <w:rFonts w:cs="FrankRuehl"/>
          <w:rtl/>
        </w:rPr>
        <w:t xml:space="preserve"> ע</w:t>
      </w:r>
      <w:r>
        <w:rPr>
          <w:rFonts w:cs="FrankRuehl" w:hint="cs"/>
          <w:rtl/>
        </w:rPr>
        <w:t>מ' (ע) 1631, (א) 1946 (צו (מס' 3) 1942).</w:t>
      </w:r>
    </w:p>
    <w:p w14:paraId="1793F13A" w14:textId="77777777" w:rsidR="00CA1F53" w:rsidRDefault="00CA1F53" w:rsidP="00CA1F5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ע</w:t>
      </w:r>
      <w:r>
        <w:rPr>
          <w:rFonts w:cs="FrankRuehl"/>
          <w:rtl/>
        </w:rPr>
        <w:t>"</w:t>
      </w:r>
      <w:r>
        <w:rPr>
          <w:rFonts w:cs="FrankRuehl" w:hint="cs"/>
          <w:rtl/>
        </w:rPr>
        <w:t>ר מס' 1248 מיום 4.2.1943, תוס' 2, עמ' (ע) 104, (א) 124 (צו 1943).</w:t>
      </w:r>
    </w:p>
    <w:p w14:paraId="219A045B" w14:textId="77777777" w:rsidR="00CA1F53" w:rsidRDefault="00CA1F53" w:rsidP="00CA1F5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 w:history="1">
        <w:r w:rsidRPr="0096014C">
          <w:rPr>
            <w:rStyle w:val="Hyperlink"/>
            <w:rFonts w:cs="FrankRuehl" w:hint="cs"/>
            <w:rtl/>
          </w:rPr>
          <w:t>ק</w:t>
        </w:r>
        <w:r w:rsidRPr="0096014C">
          <w:rPr>
            <w:rStyle w:val="Hyperlink"/>
            <w:rFonts w:cs="FrankRuehl"/>
            <w:rtl/>
          </w:rPr>
          <w:t>"</w:t>
        </w:r>
        <w:r w:rsidRPr="0096014C">
          <w:rPr>
            <w:rStyle w:val="Hyperlink"/>
            <w:rFonts w:cs="FrankRuehl" w:hint="cs"/>
            <w:rtl/>
          </w:rPr>
          <w:t>ת תשי"ד מס' 437</w:t>
        </w:r>
      </w:hyperlink>
      <w:r>
        <w:rPr>
          <w:rFonts w:cs="FrankRuehl" w:hint="cs"/>
          <w:rtl/>
        </w:rPr>
        <w:t xml:space="preserve"> מיום 1.4.1954 עמ' 598 </w:t>
      </w:r>
      <w:r>
        <w:rPr>
          <w:rFonts w:cs="FrankRuehl"/>
          <w:rtl/>
        </w:rPr>
        <w:t>–</w:t>
      </w:r>
      <w:r>
        <w:rPr>
          <w:rFonts w:cs="FrankRuehl" w:hint="cs"/>
          <w:rtl/>
        </w:rPr>
        <w:t xml:space="preserve"> צו תשי"ד-1954.</w:t>
      </w:r>
    </w:p>
    <w:p w14:paraId="2CA5D912" w14:textId="77777777" w:rsidR="00CA1F53" w:rsidRPr="00CA1F53" w:rsidRDefault="00CA1F53" w:rsidP="00CA1F5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2" w:history="1">
        <w:r w:rsidRPr="004A6E94">
          <w:rPr>
            <w:rStyle w:val="Hyperlink"/>
            <w:rFonts w:cs="FrankRuehl" w:hint="cs"/>
            <w:rtl/>
          </w:rPr>
          <w:t>ק</w:t>
        </w:r>
        <w:r w:rsidRPr="004A6E94">
          <w:rPr>
            <w:rStyle w:val="Hyperlink"/>
            <w:rFonts w:cs="FrankRuehl"/>
            <w:rtl/>
          </w:rPr>
          <w:t>"</w:t>
        </w:r>
        <w:r w:rsidRPr="004A6E94">
          <w:rPr>
            <w:rStyle w:val="Hyperlink"/>
            <w:rFonts w:cs="FrankRuehl" w:hint="cs"/>
            <w:rtl/>
          </w:rPr>
          <w:t>ת תשי"ט מ</w:t>
        </w:r>
        <w:r w:rsidRPr="004A6E94">
          <w:rPr>
            <w:rStyle w:val="Hyperlink"/>
            <w:rFonts w:cs="FrankRuehl" w:hint="cs"/>
            <w:rtl/>
          </w:rPr>
          <w:t>ס</w:t>
        </w:r>
        <w:r w:rsidRPr="004A6E94">
          <w:rPr>
            <w:rStyle w:val="Hyperlink"/>
            <w:rFonts w:cs="FrankRuehl" w:hint="cs"/>
            <w:rtl/>
          </w:rPr>
          <w:t>' 858</w:t>
        </w:r>
      </w:hyperlink>
      <w:r>
        <w:rPr>
          <w:rFonts w:cs="FrankRuehl" w:hint="cs"/>
          <w:rtl/>
        </w:rPr>
        <w:t xml:space="preserve"> מיום 25.12.1958 עמ' 541 </w:t>
      </w:r>
      <w:r>
        <w:rPr>
          <w:rFonts w:cs="FrankRuehl"/>
          <w:rtl/>
        </w:rPr>
        <w:t>–</w:t>
      </w:r>
      <w:r>
        <w:rPr>
          <w:rFonts w:cs="FrankRuehl" w:hint="cs"/>
          <w:rtl/>
        </w:rPr>
        <w:t xml:space="preserve"> צו תשי"ט-1958.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6E21B" w14:textId="77777777" w:rsidR="00690D11" w:rsidRDefault="00690D1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מתן רשיונות יבוא, 1939</w:t>
    </w:r>
  </w:p>
  <w:p w14:paraId="39ED003F" w14:textId="77777777" w:rsidR="00690D11" w:rsidRDefault="00690D1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42F53F1" w14:textId="77777777" w:rsidR="00690D11" w:rsidRDefault="00690D11">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C6B77" w14:textId="77777777" w:rsidR="00690D11" w:rsidRDefault="00690D1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מתן רשיונות יבוא, 1939</w:t>
    </w:r>
  </w:p>
  <w:p w14:paraId="52738A2C" w14:textId="77777777" w:rsidR="00690D11" w:rsidRDefault="00690D1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588A0F0" w14:textId="77777777" w:rsidR="00690D11" w:rsidRDefault="00690D11">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52284"/>
    <w:rsid w:val="000F611E"/>
    <w:rsid w:val="001E3B0A"/>
    <w:rsid w:val="00203C3E"/>
    <w:rsid w:val="002824BD"/>
    <w:rsid w:val="002D6207"/>
    <w:rsid w:val="003B139D"/>
    <w:rsid w:val="004457AD"/>
    <w:rsid w:val="00493543"/>
    <w:rsid w:val="004A6E94"/>
    <w:rsid w:val="00571D14"/>
    <w:rsid w:val="005F2830"/>
    <w:rsid w:val="006326CC"/>
    <w:rsid w:val="00690D11"/>
    <w:rsid w:val="00707FD8"/>
    <w:rsid w:val="007A48B4"/>
    <w:rsid w:val="007A6B01"/>
    <w:rsid w:val="008858B6"/>
    <w:rsid w:val="008B1568"/>
    <w:rsid w:val="00952284"/>
    <w:rsid w:val="0096014C"/>
    <w:rsid w:val="00A2747E"/>
    <w:rsid w:val="00AF0A3E"/>
    <w:rsid w:val="00B2699C"/>
    <w:rsid w:val="00BF518E"/>
    <w:rsid w:val="00BF74BA"/>
    <w:rsid w:val="00C25618"/>
    <w:rsid w:val="00CA1F53"/>
    <w:rsid w:val="00CD7913"/>
    <w:rsid w:val="00D40045"/>
    <w:rsid w:val="00D401DA"/>
    <w:rsid w:val="00DB4F70"/>
    <w:rsid w:val="00DC355E"/>
    <w:rsid w:val="00E80587"/>
    <w:rsid w:val="00F37231"/>
    <w:rsid w:val="00FA6F1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C41C2BA"/>
  <w15:chartTrackingRefBased/>
  <w15:docId w15:val="{8F620708-A8FC-48EF-BB24-9110AA4B6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uiPriority w:val="99"/>
    <w:semiHidden/>
    <w:unhideWhenUsed/>
    <w:rsid w:val="00571D14"/>
    <w:rPr>
      <w:color w:val="800080"/>
      <w:u w:val="single"/>
    </w:rPr>
  </w:style>
  <w:style w:type="paragraph" w:styleId="a5">
    <w:name w:val="footnote text"/>
    <w:basedOn w:val="a"/>
    <w:semiHidden/>
    <w:rsid w:val="00CA1F53"/>
    <w:rPr>
      <w:sz w:val="20"/>
      <w:szCs w:val="20"/>
    </w:rPr>
  </w:style>
  <w:style w:type="character" w:styleId="a6">
    <w:name w:val="footnote reference"/>
    <w:basedOn w:val="a0"/>
    <w:semiHidden/>
    <w:rsid w:val="00CA1F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_word/law06/TAK-0437.pdf"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0858.pdf"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0858.pdf" TargetMode="External"/><Relationship Id="rId1" Type="http://schemas.openxmlformats.org/officeDocument/2006/relationships/hyperlink" Target="http://www.nevo.co.il/Law_word/law06/TAK-043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4658</CharactersWithSpaces>
  <SharedDoc>false</SharedDoc>
  <HLinks>
    <vt:vector size="60" baseType="variant">
      <vt:variant>
        <vt:i4>393283</vt:i4>
      </vt:variant>
      <vt:variant>
        <vt:i4>33</vt:i4>
      </vt:variant>
      <vt:variant>
        <vt:i4>0</vt:i4>
      </vt:variant>
      <vt:variant>
        <vt:i4>5</vt:i4>
      </vt:variant>
      <vt:variant>
        <vt:lpwstr>http://www.nevo.co.il/advertisements/nevo-100.doc</vt:lpwstr>
      </vt:variant>
      <vt:variant>
        <vt:lpwstr/>
      </vt:variant>
      <vt:variant>
        <vt:i4>393283</vt:i4>
      </vt:variant>
      <vt:variant>
        <vt:i4>30</vt:i4>
      </vt:variant>
      <vt:variant>
        <vt:i4>0</vt:i4>
      </vt:variant>
      <vt:variant>
        <vt:i4>5</vt:i4>
      </vt:variant>
      <vt:variant>
        <vt:lpwstr>http://www.nevo.co.il/advertisements/nevo-100.doc</vt:lpwstr>
      </vt:variant>
      <vt:variant>
        <vt:lpwstr/>
      </vt:variant>
      <vt:variant>
        <vt:i4>7995403</vt:i4>
      </vt:variant>
      <vt:variant>
        <vt:i4>27</vt:i4>
      </vt:variant>
      <vt:variant>
        <vt:i4>0</vt:i4>
      </vt:variant>
      <vt:variant>
        <vt:i4>5</vt:i4>
      </vt:variant>
      <vt:variant>
        <vt:lpwstr>http://www.nevo.co.il/Law_word/law06/TAK-0437.pdf</vt:lpwstr>
      </vt:variant>
      <vt:variant>
        <vt:lpwstr/>
      </vt:variant>
      <vt:variant>
        <vt:i4>8126472</vt:i4>
      </vt:variant>
      <vt:variant>
        <vt:i4>24</vt:i4>
      </vt:variant>
      <vt:variant>
        <vt:i4>0</vt:i4>
      </vt:variant>
      <vt:variant>
        <vt:i4>5</vt:i4>
      </vt:variant>
      <vt:variant>
        <vt:lpwstr>http://www.nevo.co.il/Law_word/law06/TAK-0858.pdf</vt:lpwstr>
      </vt:variant>
      <vt:variant>
        <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8126472</vt:i4>
      </vt:variant>
      <vt:variant>
        <vt:i4>3</vt:i4>
      </vt:variant>
      <vt:variant>
        <vt:i4>0</vt:i4>
      </vt:variant>
      <vt:variant>
        <vt:i4>5</vt:i4>
      </vt:variant>
      <vt:variant>
        <vt:lpwstr>http://www.nevo.co.il/Law_word/law06/TAK-0858.pdf</vt:lpwstr>
      </vt:variant>
      <vt:variant>
        <vt:lpwstr/>
      </vt:variant>
      <vt:variant>
        <vt:i4>7995403</vt:i4>
      </vt:variant>
      <vt:variant>
        <vt:i4>0</vt:i4>
      </vt:variant>
      <vt:variant>
        <vt:i4>0</vt:i4>
      </vt:variant>
      <vt:variant>
        <vt:i4>5</vt:i4>
      </vt:variant>
      <vt:variant>
        <vt:lpwstr>http://www.nevo.co.il/Law_word/law06/TAK-0437.pdf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cp:lastModifiedBy>Shimon Doodkin</cp:lastModifiedBy>
  <cp:revision>2</cp:revision>
  <dcterms:created xsi:type="dcterms:W3CDTF">2023-06-05T19:23:00Z</dcterms:created>
  <dcterms:modified xsi:type="dcterms:W3CDTF">2023-06-05T19:23:00Z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0265</vt:lpwstr>
  </property>
  <property fmtid="{D5CDD505-2E9C-101B-9397-08002B2CF9AE}" pid="3" name="CHNAME">
    <vt:lpwstr>מסי מכס ובלו</vt:lpwstr>
  </property>
  <property fmtid="{D5CDD505-2E9C-101B-9397-08002B2CF9AE}" pid="4" name="LAWNAME">
    <vt:lpwstr>צו מתן רשיונות יבוא, 1939 - רבדים</vt:lpwstr>
  </property>
  <property fmtid="{D5CDD505-2E9C-101B-9397-08002B2CF9AE}" pid="5" name="LAWNUMBER">
    <vt:lpwstr>0036</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מסחר </vt:lpwstr>
  </property>
  <property fmtid="{D5CDD505-2E9C-101B-9397-08002B2CF9AE}" pid="9" name="NOSE31">
    <vt:lpwstr>יבוא </vt:lpwstr>
  </property>
  <property fmtid="{D5CDD505-2E9C-101B-9397-08002B2CF9AE}" pid="10" name="NOSE41">
    <vt:lpwstr>מיסוי, מכס והיטלים</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