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4867EC" w:rsidP="00A62362">
      <w:pPr>
        <w:pStyle w:val="big-header"/>
        <w:ind w:left="0" w:right="1134"/>
        <w:rPr>
          <w:rFonts w:cs="FrankRuehl" w:hint="cs"/>
          <w:sz w:val="32"/>
          <w:rtl/>
        </w:rPr>
      </w:pPr>
      <w:r>
        <w:rPr>
          <w:rFonts w:cs="FrankRuehl" w:hint="cs"/>
          <w:sz w:val="32"/>
          <w:rtl/>
        </w:rPr>
        <w:t>צו</w:t>
      </w:r>
      <w:r w:rsidR="00323BE4">
        <w:rPr>
          <w:rFonts w:cs="FrankRuehl"/>
          <w:sz w:val="32"/>
          <w:rtl/>
        </w:rPr>
        <w:t xml:space="preserve"> נתוני אשראי</w:t>
      </w:r>
      <w:r>
        <w:rPr>
          <w:rFonts w:cs="FrankRuehl" w:hint="cs"/>
          <w:sz w:val="32"/>
          <w:rtl/>
        </w:rPr>
        <w:t xml:space="preserve"> (אגרות)</w:t>
      </w:r>
      <w:r w:rsidR="00323BE4">
        <w:rPr>
          <w:rFonts w:cs="FrankRuehl"/>
          <w:sz w:val="32"/>
          <w:rtl/>
        </w:rPr>
        <w:t xml:space="preserve">, </w:t>
      </w:r>
      <w:r w:rsidR="00A62362">
        <w:rPr>
          <w:rFonts w:cs="FrankRuehl" w:hint="cs"/>
          <w:sz w:val="32"/>
          <w:rtl/>
        </w:rPr>
        <w:t>תשע"</w:t>
      </w:r>
      <w:r>
        <w:rPr>
          <w:rFonts w:cs="FrankRuehl" w:hint="cs"/>
          <w:sz w:val="32"/>
          <w:rtl/>
        </w:rPr>
        <w:t>ח</w:t>
      </w:r>
      <w:r w:rsidR="00A62362">
        <w:rPr>
          <w:rFonts w:cs="FrankRuehl" w:hint="cs"/>
          <w:sz w:val="32"/>
          <w:rtl/>
        </w:rPr>
        <w:t>-201</w:t>
      </w:r>
      <w:r>
        <w:rPr>
          <w:rFonts w:cs="FrankRuehl" w:hint="cs"/>
          <w:sz w:val="32"/>
          <w:rtl/>
        </w:rPr>
        <w:t>7</w:t>
      </w:r>
    </w:p>
    <w:p w:rsidR="005726FD" w:rsidRDefault="005726FD" w:rsidP="005726FD">
      <w:pPr>
        <w:spacing w:line="320" w:lineRule="auto"/>
        <w:jc w:val="left"/>
        <w:rPr>
          <w:rFonts w:hint="cs"/>
          <w:rtl/>
        </w:rPr>
      </w:pPr>
    </w:p>
    <w:p w:rsidR="00CD158C" w:rsidRDefault="00CD158C" w:rsidP="005726FD">
      <w:pPr>
        <w:spacing w:line="320" w:lineRule="auto"/>
        <w:jc w:val="left"/>
        <w:rPr>
          <w:rFonts w:hint="cs"/>
          <w:rtl/>
        </w:rPr>
      </w:pPr>
    </w:p>
    <w:p w:rsidR="005726FD" w:rsidRDefault="005726FD" w:rsidP="005726FD">
      <w:pPr>
        <w:spacing w:line="320" w:lineRule="auto"/>
        <w:jc w:val="left"/>
        <w:rPr>
          <w:rFonts w:cs="FrankRuehl"/>
          <w:szCs w:val="26"/>
          <w:rtl/>
        </w:rPr>
      </w:pPr>
      <w:r w:rsidRPr="005726FD">
        <w:rPr>
          <w:rFonts w:cs="Miriam"/>
          <w:szCs w:val="22"/>
          <w:rtl/>
        </w:rPr>
        <w:t>משפט פרטי וכלכלה</w:t>
      </w:r>
      <w:r w:rsidRPr="005726FD">
        <w:rPr>
          <w:rFonts w:cs="FrankRuehl"/>
          <w:szCs w:val="26"/>
          <w:rtl/>
        </w:rPr>
        <w:t xml:space="preserve"> – כספים – בנקאות – שירות ללקוח</w:t>
      </w:r>
    </w:p>
    <w:p w:rsidR="005726FD" w:rsidRPr="005726FD" w:rsidRDefault="005726FD" w:rsidP="005726FD">
      <w:pPr>
        <w:spacing w:line="320" w:lineRule="auto"/>
        <w:jc w:val="left"/>
        <w:rPr>
          <w:rFonts w:cs="Miriam"/>
          <w:szCs w:val="22"/>
          <w:rtl/>
        </w:rPr>
      </w:pPr>
      <w:r w:rsidRPr="005726FD">
        <w:rPr>
          <w:rFonts w:cs="Miriam"/>
          <w:szCs w:val="22"/>
          <w:rtl/>
        </w:rPr>
        <w:t>משפט פרטי וכלכלה</w:t>
      </w:r>
      <w:r w:rsidRPr="005726FD">
        <w:rPr>
          <w:rFonts w:cs="FrankRuehl"/>
          <w:szCs w:val="26"/>
          <w:rtl/>
        </w:rPr>
        <w:t xml:space="preserve"> – כספים – שירות נתוני אשראי</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2119" w:rsidRPr="00B02119" w:rsidTr="00B02119">
        <w:tblPrEx>
          <w:tblCellMar>
            <w:top w:w="0" w:type="dxa"/>
            <w:bottom w:w="0" w:type="dxa"/>
          </w:tblCellMar>
        </w:tblPrEx>
        <w:tc>
          <w:tcPr>
            <w:tcW w:w="1247" w:type="dxa"/>
          </w:tcPr>
          <w:p w:rsidR="00B02119" w:rsidRPr="00B02119" w:rsidRDefault="00B02119" w:rsidP="00B02119">
            <w:pPr>
              <w:spacing w:line="240" w:lineRule="auto"/>
              <w:jc w:val="left"/>
              <w:rPr>
                <w:rFonts w:cs="Frankruhel"/>
                <w:sz w:val="24"/>
                <w:rtl/>
              </w:rPr>
            </w:pPr>
            <w:r>
              <w:rPr>
                <w:sz w:val="24"/>
                <w:rtl/>
              </w:rPr>
              <w:t xml:space="preserve">סעיף 1 </w:t>
            </w:r>
          </w:p>
        </w:tc>
        <w:tc>
          <w:tcPr>
            <w:tcW w:w="5669" w:type="dxa"/>
          </w:tcPr>
          <w:p w:rsidR="00B02119" w:rsidRPr="00B02119" w:rsidRDefault="00B02119" w:rsidP="00B02119">
            <w:pPr>
              <w:spacing w:line="240" w:lineRule="auto"/>
              <w:jc w:val="left"/>
              <w:rPr>
                <w:rFonts w:cs="Frankruhel"/>
                <w:sz w:val="24"/>
                <w:rtl/>
              </w:rPr>
            </w:pPr>
            <w:r>
              <w:rPr>
                <w:sz w:val="24"/>
                <w:rtl/>
              </w:rPr>
              <w:t>אגרה בעד רישיון</w:t>
            </w:r>
          </w:p>
        </w:tc>
        <w:tc>
          <w:tcPr>
            <w:tcW w:w="567" w:type="dxa"/>
          </w:tcPr>
          <w:p w:rsidR="00B02119" w:rsidRPr="00B02119" w:rsidRDefault="00B02119" w:rsidP="00B02119">
            <w:pPr>
              <w:spacing w:line="240" w:lineRule="auto"/>
              <w:jc w:val="left"/>
              <w:rPr>
                <w:rStyle w:val="Hyperlink"/>
                <w:rtl/>
              </w:rPr>
            </w:pPr>
            <w:hyperlink w:anchor="Seif1" w:tooltip="אגרה בעד רישיון" w:history="1">
              <w:r w:rsidRPr="00B02119">
                <w:rPr>
                  <w:rStyle w:val="Hyperlink"/>
                </w:rPr>
                <w:t>Go</w:t>
              </w:r>
            </w:hyperlink>
          </w:p>
        </w:tc>
        <w:tc>
          <w:tcPr>
            <w:tcW w:w="850" w:type="dxa"/>
          </w:tcPr>
          <w:p w:rsidR="00B02119" w:rsidRPr="00B02119" w:rsidRDefault="00B02119" w:rsidP="00B0211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02119" w:rsidRPr="00B02119" w:rsidTr="00B02119">
        <w:tblPrEx>
          <w:tblCellMar>
            <w:top w:w="0" w:type="dxa"/>
            <w:bottom w:w="0" w:type="dxa"/>
          </w:tblCellMar>
        </w:tblPrEx>
        <w:tc>
          <w:tcPr>
            <w:tcW w:w="1247" w:type="dxa"/>
          </w:tcPr>
          <w:p w:rsidR="00B02119" w:rsidRPr="00B02119" w:rsidRDefault="00B02119" w:rsidP="00B02119">
            <w:pPr>
              <w:spacing w:line="240" w:lineRule="auto"/>
              <w:jc w:val="left"/>
              <w:rPr>
                <w:rFonts w:cs="Frankruhel"/>
                <w:sz w:val="24"/>
                <w:rtl/>
              </w:rPr>
            </w:pPr>
            <w:r>
              <w:rPr>
                <w:sz w:val="24"/>
                <w:rtl/>
              </w:rPr>
              <w:t xml:space="preserve">סעיף 2 </w:t>
            </w:r>
          </w:p>
        </w:tc>
        <w:tc>
          <w:tcPr>
            <w:tcW w:w="5669" w:type="dxa"/>
          </w:tcPr>
          <w:p w:rsidR="00B02119" w:rsidRPr="00B02119" w:rsidRDefault="00B02119" w:rsidP="00B02119">
            <w:pPr>
              <w:spacing w:line="240" w:lineRule="auto"/>
              <w:jc w:val="left"/>
              <w:rPr>
                <w:rFonts w:cs="Frankruhel"/>
                <w:sz w:val="24"/>
                <w:rtl/>
              </w:rPr>
            </w:pPr>
            <w:r>
              <w:rPr>
                <w:sz w:val="24"/>
                <w:rtl/>
              </w:rPr>
              <w:t>אגרה שנתית</w:t>
            </w:r>
          </w:p>
        </w:tc>
        <w:tc>
          <w:tcPr>
            <w:tcW w:w="567" w:type="dxa"/>
          </w:tcPr>
          <w:p w:rsidR="00B02119" w:rsidRPr="00B02119" w:rsidRDefault="00B02119" w:rsidP="00B02119">
            <w:pPr>
              <w:spacing w:line="240" w:lineRule="auto"/>
              <w:jc w:val="left"/>
              <w:rPr>
                <w:rStyle w:val="Hyperlink"/>
                <w:rtl/>
              </w:rPr>
            </w:pPr>
            <w:hyperlink w:anchor="Seif5" w:tooltip="אגרה שנתית" w:history="1">
              <w:r w:rsidRPr="00B02119">
                <w:rPr>
                  <w:rStyle w:val="Hyperlink"/>
                </w:rPr>
                <w:t>Go</w:t>
              </w:r>
            </w:hyperlink>
          </w:p>
        </w:tc>
        <w:tc>
          <w:tcPr>
            <w:tcW w:w="850" w:type="dxa"/>
          </w:tcPr>
          <w:p w:rsidR="00B02119" w:rsidRPr="00B02119" w:rsidRDefault="00B02119" w:rsidP="00B0211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02119" w:rsidRPr="00B02119" w:rsidTr="00B02119">
        <w:tblPrEx>
          <w:tblCellMar>
            <w:top w:w="0" w:type="dxa"/>
            <w:bottom w:w="0" w:type="dxa"/>
          </w:tblCellMar>
        </w:tblPrEx>
        <w:tc>
          <w:tcPr>
            <w:tcW w:w="1247" w:type="dxa"/>
          </w:tcPr>
          <w:p w:rsidR="00B02119" w:rsidRPr="00B02119" w:rsidRDefault="00B02119" w:rsidP="00B02119">
            <w:pPr>
              <w:spacing w:line="240" w:lineRule="auto"/>
              <w:jc w:val="left"/>
              <w:rPr>
                <w:rFonts w:cs="Frankruhel"/>
                <w:sz w:val="24"/>
                <w:rtl/>
              </w:rPr>
            </w:pPr>
            <w:r>
              <w:rPr>
                <w:sz w:val="24"/>
                <w:rtl/>
              </w:rPr>
              <w:t xml:space="preserve">סעיף 3 </w:t>
            </w:r>
          </w:p>
        </w:tc>
        <w:tc>
          <w:tcPr>
            <w:tcW w:w="5669" w:type="dxa"/>
          </w:tcPr>
          <w:p w:rsidR="00B02119" w:rsidRPr="00B02119" w:rsidRDefault="00B02119" w:rsidP="00B02119">
            <w:pPr>
              <w:spacing w:line="240" w:lineRule="auto"/>
              <w:jc w:val="left"/>
              <w:rPr>
                <w:rFonts w:cs="Frankruhel"/>
                <w:sz w:val="24"/>
                <w:rtl/>
              </w:rPr>
            </w:pPr>
            <w:r>
              <w:rPr>
                <w:sz w:val="24"/>
                <w:rtl/>
              </w:rPr>
              <w:t>אגרות בעד מסירת מידע מהמאגר</w:t>
            </w:r>
          </w:p>
        </w:tc>
        <w:tc>
          <w:tcPr>
            <w:tcW w:w="567" w:type="dxa"/>
          </w:tcPr>
          <w:p w:rsidR="00B02119" w:rsidRPr="00B02119" w:rsidRDefault="00B02119" w:rsidP="00B02119">
            <w:pPr>
              <w:spacing w:line="240" w:lineRule="auto"/>
              <w:jc w:val="left"/>
              <w:rPr>
                <w:rStyle w:val="Hyperlink"/>
                <w:rtl/>
              </w:rPr>
            </w:pPr>
            <w:hyperlink w:anchor="Seif2" w:tooltip="אגרות בעד מסירת מידע מהמאגר" w:history="1">
              <w:r w:rsidRPr="00B02119">
                <w:rPr>
                  <w:rStyle w:val="Hyperlink"/>
                </w:rPr>
                <w:t>Go</w:t>
              </w:r>
            </w:hyperlink>
          </w:p>
        </w:tc>
        <w:tc>
          <w:tcPr>
            <w:tcW w:w="850" w:type="dxa"/>
          </w:tcPr>
          <w:p w:rsidR="00B02119" w:rsidRPr="00B02119" w:rsidRDefault="00B02119" w:rsidP="00B0211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02119" w:rsidRPr="00B02119" w:rsidTr="00B02119">
        <w:tblPrEx>
          <w:tblCellMar>
            <w:top w:w="0" w:type="dxa"/>
            <w:bottom w:w="0" w:type="dxa"/>
          </w:tblCellMar>
        </w:tblPrEx>
        <w:tc>
          <w:tcPr>
            <w:tcW w:w="1247" w:type="dxa"/>
          </w:tcPr>
          <w:p w:rsidR="00B02119" w:rsidRPr="00B02119" w:rsidRDefault="00B02119" w:rsidP="00B02119">
            <w:pPr>
              <w:spacing w:line="240" w:lineRule="auto"/>
              <w:jc w:val="left"/>
              <w:rPr>
                <w:rFonts w:cs="Frankruhel"/>
                <w:sz w:val="24"/>
                <w:rtl/>
              </w:rPr>
            </w:pPr>
            <w:r>
              <w:rPr>
                <w:sz w:val="24"/>
                <w:rtl/>
              </w:rPr>
              <w:t xml:space="preserve">סעיף 4 </w:t>
            </w:r>
          </w:p>
        </w:tc>
        <w:tc>
          <w:tcPr>
            <w:tcW w:w="5669" w:type="dxa"/>
          </w:tcPr>
          <w:p w:rsidR="00B02119" w:rsidRPr="00B02119" w:rsidRDefault="00B02119" w:rsidP="00B02119">
            <w:pPr>
              <w:spacing w:line="240" w:lineRule="auto"/>
              <w:jc w:val="left"/>
              <w:rPr>
                <w:rFonts w:cs="Frankruhel"/>
                <w:sz w:val="24"/>
                <w:rtl/>
              </w:rPr>
            </w:pPr>
            <w:r>
              <w:rPr>
                <w:sz w:val="24"/>
                <w:rtl/>
              </w:rPr>
              <w:t>הצמדת סכומי האגרות, דרכי תשלום ומועדי תשלום</w:t>
            </w:r>
          </w:p>
        </w:tc>
        <w:tc>
          <w:tcPr>
            <w:tcW w:w="567" w:type="dxa"/>
          </w:tcPr>
          <w:p w:rsidR="00B02119" w:rsidRPr="00B02119" w:rsidRDefault="00B02119" w:rsidP="00B02119">
            <w:pPr>
              <w:spacing w:line="240" w:lineRule="auto"/>
              <w:jc w:val="left"/>
              <w:rPr>
                <w:rStyle w:val="Hyperlink"/>
                <w:rtl/>
              </w:rPr>
            </w:pPr>
            <w:hyperlink w:anchor="Seif3" w:tooltip="הצמדת סכומי האגרות, דרכי תשלום ומועדי תשלום" w:history="1">
              <w:r w:rsidRPr="00B02119">
                <w:rPr>
                  <w:rStyle w:val="Hyperlink"/>
                </w:rPr>
                <w:t>Go</w:t>
              </w:r>
            </w:hyperlink>
          </w:p>
        </w:tc>
        <w:tc>
          <w:tcPr>
            <w:tcW w:w="850" w:type="dxa"/>
          </w:tcPr>
          <w:p w:rsidR="00B02119" w:rsidRPr="00B02119" w:rsidRDefault="00B02119" w:rsidP="00B0211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02119" w:rsidRPr="00B02119" w:rsidTr="00B02119">
        <w:tblPrEx>
          <w:tblCellMar>
            <w:top w:w="0" w:type="dxa"/>
            <w:bottom w:w="0" w:type="dxa"/>
          </w:tblCellMar>
        </w:tblPrEx>
        <w:tc>
          <w:tcPr>
            <w:tcW w:w="1247" w:type="dxa"/>
          </w:tcPr>
          <w:p w:rsidR="00B02119" w:rsidRPr="00B02119" w:rsidRDefault="00B02119" w:rsidP="00B02119">
            <w:pPr>
              <w:spacing w:line="240" w:lineRule="auto"/>
              <w:jc w:val="left"/>
              <w:rPr>
                <w:rFonts w:cs="Frankruhel"/>
                <w:sz w:val="24"/>
                <w:rtl/>
              </w:rPr>
            </w:pPr>
            <w:r>
              <w:rPr>
                <w:sz w:val="24"/>
                <w:rtl/>
              </w:rPr>
              <w:t xml:space="preserve">סעיף 5 </w:t>
            </w:r>
          </w:p>
        </w:tc>
        <w:tc>
          <w:tcPr>
            <w:tcW w:w="5669" w:type="dxa"/>
          </w:tcPr>
          <w:p w:rsidR="00B02119" w:rsidRPr="00B02119" w:rsidRDefault="00B02119" w:rsidP="00B02119">
            <w:pPr>
              <w:spacing w:line="240" w:lineRule="auto"/>
              <w:jc w:val="left"/>
              <w:rPr>
                <w:rFonts w:cs="Frankruhel"/>
                <w:sz w:val="24"/>
                <w:rtl/>
              </w:rPr>
            </w:pPr>
            <w:r>
              <w:rPr>
                <w:sz w:val="24"/>
                <w:rtl/>
              </w:rPr>
              <w:t>הפרשי הצמדה וריבית בשל אגרה שלא שולמה במועדה</w:t>
            </w:r>
          </w:p>
        </w:tc>
        <w:tc>
          <w:tcPr>
            <w:tcW w:w="567" w:type="dxa"/>
          </w:tcPr>
          <w:p w:rsidR="00B02119" w:rsidRPr="00B02119" w:rsidRDefault="00B02119" w:rsidP="00B02119">
            <w:pPr>
              <w:spacing w:line="240" w:lineRule="auto"/>
              <w:jc w:val="left"/>
              <w:rPr>
                <w:rStyle w:val="Hyperlink"/>
                <w:rtl/>
              </w:rPr>
            </w:pPr>
            <w:hyperlink w:anchor="Seif4" w:tooltip="הפרשי הצמדה וריבית בשל אגרה שלא שולמה במועדה" w:history="1">
              <w:r w:rsidRPr="00B02119">
                <w:rPr>
                  <w:rStyle w:val="Hyperlink"/>
                </w:rPr>
                <w:t>Go</w:t>
              </w:r>
            </w:hyperlink>
          </w:p>
        </w:tc>
        <w:tc>
          <w:tcPr>
            <w:tcW w:w="850" w:type="dxa"/>
          </w:tcPr>
          <w:p w:rsidR="00B02119" w:rsidRPr="00B02119" w:rsidRDefault="00B02119" w:rsidP="00B0211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124042">
      <w:pPr>
        <w:pStyle w:val="big-header"/>
        <w:ind w:left="0" w:right="1134"/>
        <w:rPr>
          <w:rFonts w:cs="FrankRuehl"/>
          <w:sz w:val="32"/>
          <w:rtl/>
        </w:rPr>
      </w:pPr>
      <w:r>
        <w:rPr>
          <w:rFonts w:cs="FrankRuehl"/>
          <w:sz w:val="32"/>
          <w:rtl/>
        </w:rPr>
        <w:br w:type="page"/>
      </w:r>
      <w:r w:rsidR="004867EC">
        <w:rPr>
          <w:rFonts w:cs="FrankRuehl" w:hint="cs"/>
          <w:sz w:val="32"/>
          <w:rtl/>
        </w:rPr>
        <w:lastRenderedPageBreak/>
        <w:t>צו</w:t>
      </w:r>
      <w:r w:rsidR="004867EC">
        <w:rPr>
          <w:rFonts w:cs="FrankRuehl"/>
          <w:sz w:val="32"/>
          <w:rtl/>
        </w:rPr>
        <w:t xml:space="preserve"> נתוני אשראי</w:t>
      </w:r>
      <w:r w:rsidR="004867EC">
        <w:rPr>
          <w:rFonts w:cs="FrankRuehl" w:hint="cs"/>
          <w:sz w:val="32"/>
          <w:rtl/>
        </w:rPr>
        <w:t xml:space="preserve"> (אגרות)</w:t>
      </w:r>
      <w:r w:rsidR="004867EC">
        <w:rPr>
          <w:rFonts w:cs="FrankRuehl"/>
          <w:sz w:val="32"/>
          <w:rtl/>
        </w:rPr>
        <w:t xml:space="preserve">, </w:t>
      </w:r>
      <w:r w:rsidR="004867EC">
        <w:rPr>
          <w:rFonts w:cs="FrankRuehl" w:hint="cs"/>
          <w:sz w:val="32"/>
          <w:rtl/>
        </w:rPr>
        <w:t>תשע"ח-2017</w:t>
      </w:r>
      <w:r w:rsidRPr="003C0AA0">
        <w:rPr>
          <w:rFonts w:cs="FrankRuehl"/>
          <w:sz w:val="32"/>
          <w:rtl/>
        </w:rPr>
        <w:footnoteReference w:customMarkFollows="1" w:id="1"/>
        <w:t>*</w:t>
      </w:r>
    </w:p>
    <w:p w:rsidR="004867EC" w:rsidRDefault="004867EC" w:rsidP="004867E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סעיפים 38(ד) ו-(ה) ו-116 לחוק נתוני אשראי, התשע"ו-2016 (להלן </w:t>
      </w:r>
      <w:r>
        <w:rPr>
          <w:rStyle w:val="default"/>
          <w:rFonts w:cs="FrankRuehl"/>
          <w:rtl/>
        </w:rPr>
        <w:t>–</w:t>
      </w:r>
      <w:r>
        <w:rPr>
          <w:rStyle w:val="default"/>
          <w:rFonts w:cs="FrankRuehl" w:hint="cs"/>
          <w:rtl/>
        </w:rPr>
        <w:t xml:space="preserve"> החוק), בהתייעצות עם שר האוצר ובאישור ועדת הכלכלה של הכנסת למעט לגבי הסעיפים בצו זה שלפי סעיף 38(ד) ו-(ה) לחוק, אני מצווה לאמור:</w:t>
      </w:r>
    </w:p>
    <w:p w:rsidR="00323BE4" w:rsidRDefault="00502910" w:rsidP="003C0AA0">
      <w:pPr>
        <w:pStyle w:val="P00"/>
        <w:spacing w:before="72"/>
        <w:ind w:left="0" w:right="1134"/>
        <w:rPr>
          <w:rStyle w:val="default"/>
          <w:rFonts w:cs="FrankRuehl"/>
          <w:rtl/>
        </w:rPr>
      </w:pPr>
      <w:bookmarkStart w:id="0" w:name="Seif1"/>
      <w:bookmarkEnd w:id="0"/>
      <w:r>
        <w:rPr>
          <w:lang w:val="he-IL"/>
        </w:rPr>
        <w:pict>
          <v:shapetype id="_x0000_t202" coordsize="21600,21600" o:spt="202" path="m,l,21600r21600,l21600,xe">
            <v:stroke joinstyle="miter"/>
            <v:path gradientshapeok="t" o:connecttype="rect"/>
          </v:shapetype>
          <v:shape id="_x0000_s1026" type="#_x0000_t202" style="position:absolute;left:0;text-align:left;margin-left:470.35pt;margin-top:7.1pt;width:1in;height:10.9pt;z-index:251653120" filled="f" stroked="f">
            <v:textbox style="mso-next-textbox:#_x0000_s1026" inset="1mm,0,1mm,0">
              <w:txbxContent>
                <w:p w:rsidR="004867EC" w:rsidRDefault="004867EC">
                  <w:pPr>
                    <w:spacing w:line="160" w:lineRule="exact"/>
                    <w:jc w:val="left"/>
                    <w:rPr>
                      <w:rFonts w:cs="Miriam" w:hint="cs"/>
                      <w:sz w:val="18"/>
                      <w:szCs w:val="18"/>
                      <w:rtl/>
                    </w:rPr>
                  </w:pPr>
                  <w:r>
                    <w:rPr>
                      <w:rFonts w:cs="Miriam" w:hint="cs"/>
                      <w:sz w:val="18"/>
                      <w:szCs w:val="18"/>
                      <w:rtl/>
                    </w:rPr>
                    <w:t>אגרה בעד רישיון</w:t>
                  </w:r>
                </w:p>
              </w:txbxContent>
            </v:textbox>
          </v:shape>
        </w:pict>
      </w:r>
      <w:r w:rsidR="00323BE4">
        <w:rPr>
          <w:rStyle w:val="default"/>
          <w:rFonts w:cs="Miriam"/>
          <w:sz w:val="32"/>
          <w:szCs w:val="32"/>
          <w:rtl/>
        </w:rPr>
        <w:t>1</w:t>
      </w:r>
      <w:r w:rsidR="00323BE4">
        <w:rPr>
          <w:rStyle w:val="default"/>
          <w:rFonts w:cs="FrankRuehl"/>
          <w:rtl/>
        </w:rPr>
        <w:t>.</w:t>
      </w:r>
      <w:r w:rsidR="00323BE4">
        <w:rPr>
          <w:rStyle w:val="default"/>
          <w:rFonts w:cs="FrankRuehl"/>
          <w:rtl/>
        </w:rPr>
        <w:tab/>
      </w:r>
      <w:r w:rsidR="004867EC">
        <w:rPr>
          <w:rStyle w:val="default"/>
          <w:rFonts w:cs="FrankRuehl" w:hint="cs"/>
          <w:rtl/>
        </w:rPr>
        <w:t>אגרה בעד רישיון שירות נתוני אשראי או שירות מידע על עוסקים תהיה בסכום של 50,000 שקלים חדשים.</w:t>
      </w:r>
    </w:p>
    <w:p w:rsidR="00323BE4" w:rsidRDefault="00323BE4" w:rsidP="003C0AA0">
      <w:pPr>
        <w:pStyle w:val="P00"/>
        <w:spacing w:before="72"/>
        <w:ind w:left="0" w:right="1134"/>
        <w:rPr>
          <w:rStyle w:val="default"/>
          <w:rFonts w:cs="FrankRuehl"/>
          <w:rtl/>
        </w:rPr>
      </w:pPr>
      <w:bookmarkStart w:id="1" w:name="Seif5"/>
      <w:bookmarkEnd w:id="1"/>
      <w:r>
        <w:rPr>
          <w:lang w:val="he-IL"/>
        </w:rPr>
        <w:pict>
          <v:shape id="_x0000_s1027" type="#_x0000_t202" style="position:absolute;left:0;text-align:left;margin-left:470.35pt;margin-top:7.1pt;width:1in;height:12.4pt;z-index:251657216" filled="f" stroked="f">
            <v:textbox inset="1mm,0,1mm,0">
              <w:txbxContent>
                <w:p w:rsidR="004867EC" w:rsidRDefault="004867EC">
                  <w:pPr>
                    <w:rPr>
                      <w:rFonts w:hint="cs"/>
                      <w:sz w:val="24"/>
                      <w:rtl/>
                    </w:rPr>
                  </w:pPr>
                  <w:r>
                    <w:rPr>
                      <w:rFonts w:cs="Miriam" w:hint="cs"/>
                      <w:sz w:val="18"/>
                      <w:szCs w:val="18"/>
                      <w:rtl/>
                    </w:rPr>
                    <w:t>אגרה שנתית</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4867EC">
        <w:rPr>
          <w:rStyle w:val="default"/>
          <w:rFonts w:cs="FrankRuehl" w:hint="cs"/>
          <w:rtl/>
        </w:rPr>
        <w:t>(א)</w:t>
      </w:r>
      <w:r w:rsidR="004867EC">
        <w:rPr>
          <w:rStyle w:val="default"/>
          <w:rFonts w:cs="FrankRuehl"/>
          <w:rtl/>
        </w:rPr>
        <w:tab/>
      </w:r>
      <w:r w:rsidR="004867EC">
        <w:rPr>
          <w:rStyle w:val="default"/>
          <w:rFonts w:cs="FrankRuehl" w:hint="cs"/>
          <w:rtl/>
        </w:rPr>
        <w:t>לשכת אשראי ולשכת מידע על עוסקים ישלמו בעד שלוש השנים הראשונות לפעילותן אגרה שנתית בסכום של 20,000 שקלים חדשים; ואולם לשכת אשראי או לשכת מידע על עוסקים שקיבלה לראשונה רישיון בתקופה שבין 1 ביולי ל-31 בדצמבר, תשלם בעד אותה נה מחצית מסכום האגרה השנתית האמורה.</w:t>
      </w:r>
    </w:p>
    <w:p w:rsidR="004867EC" w:rsidRDefault="004867EC" w:rsidP="003C0A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מהשנה הרביעית לפעילותה תשלם לשכת אשראי ולשכת מידע על עוסקים אגרה שנתית בגובה 3% מהרווח לפני מס או 20,000 שקלים חדשים, הגבוה מבין השניים; לעניין זה, "רווח לפני מס" </w:t>
      </w:r>
      <w:r>
        <w:rPr>
          <w:rStyle w:val="default"/>
          <w:rFonts w:cs="FrankRuehl"/>
          <w:rtl/>
        </w:rPr>
        <w:t>–</w:t>
      </w:r>
      <w:r>
        <w:rPr>
          <w:rStyle w:val="default"/>
          <w:rFonts w:cs="FrankRuehl" w:hint="cs"/>
          <w:rtl/>
        </w:rPr>
        <w:t xml:space="preserve"> הרווח לפני מס של הלשכה לפי המוצג בדוח הכספי השנתי האחרון שלה.</w:t>
      </w:r>
    </w:p>
    <w:p w:rsidR="00323BE4" w:rsidRDefault="00323BE4" w:rsidP="00E01433">
      <w:pPr>
        <w:pStyle w:val="P00"/>
        <w:spacing w:before="72"/>
        <w:ind w:left="0" w:right="1134"/>
        <w:rPr>
          <w:rStyle w:val="default"/>
          <w:rFonts w:cs="FrankRuehl"/>
          <w:rtl/>
        </w:rPr>
      </w:pPr>
      <w:bookmarkStart w:id="2" w:name="Seif2"/>
      <w:bookmarkEnd w:id="2"/>
      <w:r>
        <w:rPr>
          <w:lang w:val="he-IL"/>
        </w:rPr>
        <w:pict>
          <v:shape id="_x0000_s1028" type="#_x0000_t202" style="position:absolute;left:0;text-align:left;margin-left:470.35pt;margin-top:7.1pt;width:1in;height:17.8pt;z-index:251654144" filled="f" stroked="f">
            <v:textbox style="mso-next-textbox:#_x0000_s1028" inset="1mm,0,1mm,0">
              <w:txbxContent>
                <w:p w:rsidR="004867EC" w:rsidRDefault="004867EC" w:rsidP="00E01433">
                  <w:pPr>
                    <w:spacing w:line="160" w:lineRule="exact"/>
                    <w:jc w:val="left"/>
                    <w:rPr>
                      <w:rFonts w:cs="Miriam" w:hint="cs"/>
                      <w:sz w:val="18"/>
                      <w:szCs w:val="18"/>
                      <w:rtl/>
                    </w:rPr>
                  </w:pPr>
                  <w:r>
                    <w:rPr>
                      <w:rFonts w:cs="Miriam" w:hint="cs"/>
                      <w:sz w:val="18"/>
                      <w:szCs w:val="18"/>
                      <w:rtl/>
                    </w:rPr>
                    <w:t>אגרות בעד מסירת מידע מהמאגר</w:t>
                  </w:r>
                </w:p>
              </w:txbxContent>
            </v:textbox>
          </v:shape>
        </w:pict>
      </w:r>
      <w:r>
        <w:rPr>
          <w:rStyle w:val="default"/>
          <w:rFonts w:cs="Miriam"/>
          <w:sz w:val="32"/>
          <w:szCs w:val="32"/>
          <w:rtl/>
        </w:rPr>
        <w:t>3</w:t>
      </w:r>
      <w:r>
        <w:rPr>
          <w:rStyle w:val="default"/>
          <w:rFonts w:cs="FrankRuehl"/>
          <w:rtl/>
        </w:rPr>
        <w:t>.</w:t>
      </w:r>
      <w:r>
        <w:rPr>
          <w:rStyle w:val="default"/>
          <w:rFonts w:cs="FrankRuehl"/>
          <w:rtl/>
        </w:rPr>
        <w:tab/>
      </w:r>
      <w:r w:rsidR="004867EC">
        <w:rPr>
          <w:rStyle w:val="default"/>
          <w:rFonts w:cs="FrankRuehl" w:hint="cs"/>
          <w:rtl/>
        </w:rPr>
        <w:t>(א)</w:t>
      </w:r>
      <w:r w:rsidR="004867EC">
        <w:rPr>
          <w:rStyle w:val="default"/>
          <w:rFonts w:cs="FrankRuehl"/>
          <w:rtl/>
        </w:rPr>
        <w:tab/>
      </w:r>
      <w:r w:rsidR="004867EC">
        <w:rPr>
          <w:rStyle w:val="default"/>
          <w:rFonts w:cs="FrankRuehl" w:hint="cs"/>
          <w:rtl/>
        </w:rPr>
        <w:t>לשכת אשראי תשלם למאגר אגרה בעד מסירת מידע כמפורט להלן:</w:t>
      </w:r>
    </w:p>
    <w:p w:rsidR="004867EC" w:rsidRDefault="004867EC" w:rsidP="004867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2 שקלים חדשים לשנה בעד מסירת מידע לנותן אשראי, על שינויים בנתוני אשראי לגבי לקוח לפי סעיף 13(1)(ב) לחוק;</w:t>
      </w:r>
    </w:p>
    <w:p w:rsidR="0049589A" w:rsidRDefault="0049589A" w:rsidP="0049589A">
      <w:pPr>
        <w:pStyle w:val="P00"/>
        <w:spacing w:before="72"/>
        <w:ind w:left="1021" w:right="1134"/>
        <w:rPr>
          <w:rStyle w:val="default"/>
          <w:rFonts w:cs="FrankRuehl"/>
          <w:rtl/>
        </w:rPr>
      </w:pPr>
      <w:r>
        <w:rPr>
          <w:rtl/>
          <w:lang w:val="he-IL"/>
        </w:rPr>
        <w:pict>
          <v:shape id="_x0000_s1036" type="#_x0000_t202" style="position:absolute;left:0;text-align:left;margin-left:470.25pt;margin-top:7.1pt;width:1in;height:12.7pt;z-index:251661312" filled="f" stroked="f">
            <v:textbox inset="1mm,0,1mm,0">
              <w:txbxContent>
                <w:p w:rsidR="0049589A" w:rsidRDefault="0049589A" w:rsidP="0049589A">
                  <w:pPr>
                    <w:spacing w:line="160" w:lineRule="exact"/>
                    <w:jc w:val="left"/>
                    <w:rPr>
                      <w:rFonts w:cs="Miriam" w:hint="cs"/>
                      <w:szCs w:val="18"/>
                      <w:rtl/>
                    </w:rPr>
                  </w:pPr>
                  <w:r>
                    <w:rPr>
                      <w:rFonts w:cs="Miriam" w:hint="cs"/>
                      <w:szCs w:val="18"/>
                      <w:rtl/>
                    </w:rPr>
                    <w:t>צו תשפ"א-2021</w:t>
                  </w:r>
                </w:p>
              </w:txbxContent>
            </v:textbox>
            <w10:anchorlock/>
          </v:shape>
        </w:pict>
      </w:r>
      <w:r>
        <w:rPr>
          <w:rStyle w:val="default"/>
          <w:rFonts w:cs="FrankRuehl"/>
          <w:rtl/>
        </w:rPr>
        <w:t>(</w:t>
      </w:r>
      <w:r>
        <w:rPr>
          <w:rStyle w:val="default"/>
          <w:rFonts w:cs="FrankRuehl" w:hint="cs"/>
          <w:rtl/>
        </w:rPr>
        <w:t>1א)</w:t>
      </w:r>
      <w:r>
        <w:rPr>
          <w:rStyle w:val="default"/>
          <w:rFonts w:cs="FrankRuehl"/>
          <w:rtl/>
        </w:rPr>
        <w:tab/>
      </w:r>
      <w:r>
        <w:rPr>
          <w:rStyle w:val="default"/>
          <w:rFonts w:cs="FrankRuehl" w:hint="cs"/>
          <w:rtl/>
        </w:rPr>
        <w:t>3 שקלים חדשים בעד מסירה בודדת של דוח ריכוז נתונים לגבי לקוח, שאינו הדוח הראשון לשנה מסוימת, לצורך מתן שירותים ללקוח לפי סעיף 13(2)(א) או (ב) לחוק וכן לצורך מסירת דוח ריכוז נתונים ללקוח לפי סעיף 39 לחוק;</w:t>
      </w:r>
    </w:p>
    <w:p w:rsidR="004867EC" w:rsidRDefault="004867EC" w:rsidP="004867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2 שקלים חדשים לשנה בעד מסירת מידע ללקוח על שינויים בנתוני אשראי לגביו הכלולים במאגר, לפי סעיף 13(2)(ג) לחוק;</w:t>
      </w:r>
    </w:p>
    <w:p w:rsidR="004867EC" w:rsidRDefault="004867EC" w:rsidP="004867E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5 שקלים חדשים בעד כל מסירה של נתונים השמורים במאגר שנמסרו ללשכת האשראי בעבר לפי סעיף 23(ב)</w:t>
      </w:r>
      <w:r>
        <w:rPr>
          <w:rStyle w:val="default"/>
          <w:rFonts w:cs="FrankRuehl" w:hint="cs"/>
        </w:rPr>
        <w:t xml:space="preserve"> </w:t>
      </w:r>
      <w:r>
        <w:rPr>
          <w:rStyle w:val="default"/>
          <w:rFonts w:cs="FrankRuehl" w:hint="cs"/>
          <w:rtl/>
        </w:rPr>
        <w:t>לחוק;</w:t>
      </w:r>
    </w:p>
    <w:p w:rsidR="004867EC" w:rsidRDefault="004867EC" w:rsidP="004867E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3 שקלים חדשים בעד מסירה בודדת של נתוני אשראי לגבי לקוח לשם עריכת דוח אשראי לפי סעיף 29 לחוק;</w:t>
      </w:r>
    </w:p>
    <w:p w:rsidR="004867EC" w:rsidRDefault="004867EC" w:rsidP="004867E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1 שקל חדש בעד מסירה בודדת של נתוני אשראי לגבי לקוח לשם מתן חיווי אשראי לפי סעיף 35 לחוק;</w:t>
      </w:r>
    </w:p>
    <w:p w:rsidR="00DA05BE" w:rsidRDefault="00DA05BE" w:rsidP="00DA05BE">
      <w:pPr>
        <w:pStyle w:val="P00"/>
        <w:spacing w:before="72"/>
        <w:ind w:left="1021" w:right="1134"/>
        <w:rPr>
          <w:rStyle w:val="default"/>
          <w:rFonts w:cs="FrankRuehl" w:hint="cs"/>
          <w:rtl/>
        </w:rPr>
      </w:pPr>
      <w:r>
        <w:rPr>
          <w:rtl/>
          <w:lang w:val="he-IL"/>
        </w:rPr>
        <w:pict>
          <v:shape id="_x0000_s1031" type="#_x0000_t202" style="position:absolute;left:0;text-align:left;margin-left:470.25pt;margin-top:7.1pt;width:1in;height:12.7pt;z-index:251658240" filled="f" stroked="f">
            <v:textbox inset="1mm,0,1mm,0">
              <w:txbxContent>
                <w:p w:rsidR="00DA05BE" w:rsidRDefault="00DA05BE" w:rsidP="00DA05BE">
                  <w:pPr>
                    <w:spacing w:line="160" w:lineRule="exact"/>
                    <w:jc w:val="left"/>
                    <w:rPr>
                      <w:rFonts w:cs="Miriam" w:hint="cs"/>
                      <w:szCs w:val="18"/>
                      <w:rtl/>
                    </w:rPr>
                  </w:pPr>
                  <w:r>
                    <w:rPr>
                      <w:rFonts w:cs="Miriam" w:hint="cs"/>
                      <w:szCs w:val="18"/>
                      <w:rtl/>
                    </w:rPr>
                    <w:t>צו תשע"ט-2018</w:t>
                  </w:r>
                </w:p>
              </w:txbxContent>
            </v:textbox>
            <w10:anchorlock/>
          </v:shape>
        </w:pict>
      </w:r>
      <w:r>
        <w:rPr>
          <w:rStyle w:val="default"/>
          <w:rFonts w:cs="FrankRuehl"/>
          <w:rtl/>
        </w:rPr>
        <w:t>(</w:t>
      </w:r>
      <w:r>
        <w:rPr>
          <w:rStyle w:val="default"/>
          <w:rFonts w:cs="FrankRuehl" w:hint="cs"/>
          <w:rtl/>
        </w:rPr>
        <w:t>5א)</w:t>
      </w:r>
      <w:r>
        <w:rPr>
          <w:rStyle w:val="default"/>
          <w:rFonts w:cs="FrankRuehl"/>
          <w:rtl/>
        </w:rPr>
        <w:tab/>
      </w:r>
      <w:r>
        <w:rPr>
          <w:rStyle w:val="default"/>
          <w:rFonts w:cs="FrankRuehl" w:hint="cs"/>
          <w:rtl/>
        </w:rPr>
        <w:t>1 שקל חדש בעד מסירה בודדת של מידע אחר מהמאגר לגבי לקוח או בנוגע למבקש המידע, אשר מותר למסרו לפי החוק;</w:t>
      </w:r>
    </w:p>
    <w:p w:rsidR="0049589A" w:rsidRDefault="0049589A" w:rsidP="0049589A">
      <w:pPr>
        <w:pStyle w:val="P00"/>
        <w:spacing w:before="72"/>
        <w:ind w:left="1021" w:right="1134"/>
        <w:rPr>
          <w:rStyle w:val="default"/>
          <w:rFonts w:cs="FrankRuehl"/>
          <w:rtl/>
        </w:rPr>
      </w:pPr>
      <w:r>
        <w:rPr>
          <w:rtl/>
          <w:lang w:val="he-IL"/>
        </w:rPr>
        <w:pict>
          <v:shape id="_x0000_s1037" type="#_x0000_t202" style="position:absolute;left:0;text-align:left;margin-left:470.25pt;margin-top:7.1pt;width:1in;height:12.7pt;z-index:251662336" filled="f" stroked="f">
            <v:textbox inset="1mm,0,1mm,0">
              <w:txbxContent>
                <w:p w:rsidR="0049589A" w:rsidRDefault="0049589A" w:rsidP="0049589A">
                  <w:pPr>
                    <w:spacing w:line="160" w:lineRule="exact"/>
                    <w:jc w:val="left"/>
                    <w:rPr>
                      <w:rFonts w:cs="Miriam" w:hint="cs"/>
                      <w:szCs w:val="18"/>
                      <w:rtl/>
                    </w:rPr>
                  </w:pPr>
                  <w:r>
                    <w:rPr>
                      <w:rFonts w:cs="Miriam" w:hint="cs"/>
                      <w:szCs w:val="18"/>
                      <w:rtl/>
                    </w:rPr>
                    <w:t>צו תשפ"א-2021</w:t>
                  </w:r>
                </w:p>
              </w:txbxContent>
            </v:textbox>
            <w10:anchorlock/>
          </v:shape>
        </w:pict>
      </w:r>
      <w:r>
        <w:rPr>
          <w:rStyle w:val="default"/>
          <w:rFonts w:cs="FrankRuehl"/>
          <w:rtl/>
        </w:rPr>
        <w:t>(</w:t>
      </w:r>
      <w:r>
        <w:rPr>
          <w:rStyle w:val="default"/>
          <w:rFonts w:cs="FrankRuehl" w:hint="cs"/>
          <w:rtl/>
        </w:rPr>
        <w:t>5ב)</w:t>
      </w:r>
      <w:r>
        <w:rPr>
          <w:rStyle w:val="default"/>
          <w:rFonts w:cs="FrankRuehl"/>
          <w:rtl/>
        </w:rPr>
        <w:tab/>
      </w:r>
      <w:r>
        <w:rPr>
          <w:rStyle w:val="default"/>
          <w:rFonts w:cs="FrankRuehl" w:hint="cs"/>
          <w:rtl/>
        </w:rPr>
        <w:t>3 שקלים חדשים בעד מסירה בודדת של דוח ריכוז נתונים לגבי לקוח, שאינו הדוח הראשון לשנה מסוימת, לפי סעיף 42(א) לחוק, לשם מסירתו למיופה כוח בתמורה;</w:t>
      </w:r>
    </w:p>
    <w:p w:rsidR="004867EC" w:rsidRDefault="004867EC" w:rsidP="004867E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100,000 שקלים חדשים בעד גישה שנתית למאגר המידע הבלתי מזוהה.</w:t>
      </w:r>
    </w:p>
    <w:p w:rsidR="004867EC" w:rsidRDefault="004867EC" w:rsidP="00E014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לקוח ישלם למאגר אגרה בעד מסירת מידע כמפורט להלן:</w:t>
      </w:r>
    </w:p>
    <w:p w:rsidR="004867EC" w:rsidRDefault="004867EC" w:rsidP="004867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30 שקלים חדשים בעד מסירת דוח ריכוז נתונים, שאיננו הדוח הראשון לשנה מסוימת, שיישלח בצורה מקוונת, ו-40 שקלים חדשים בעד דוח כאמור שיישלח בדואר, לפי סעיף 38(ד) לחוק;</w:t>
      </w:r>
    </w:p>
    <w:p w:rsidR="004867EC" w:rsidRDefault="004867EC" w:rsidP="004867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10 שקלים חדשים בעד עותק מדוח ריכוז נתונים שנמסר לו בעבר, שיישלח בצורה מקוונת, ו-20 שקלים חדשים בעד דוח כאמור שיישלח בדואר;</w:t>
      </w:r>
    </w:p>
    <w:p w:rsidR="004867EC" w:rsidRDefault="004867EC" w:rsidP="004867E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10 שקלים חדשים בעד מסירת מידע שלא במסגרת דוח ריכוז נתונים, שיישלח </w:t>
      </w:r>
      <w:r>
        <w:rPr>
          <w:rStyle w:val="default"/>
          <w:rFonts w:cs="FrankRuehl" w:hint="cs"/>
          <w:rtl/>
        </w:rPr>
        <w:lastRenderedPageBreak/>
        <w:t>בצורה מקוונת, ו-20 שקלים חדשים בעד דוח כאמור שיישלח בדואר, לפי סעיף 38(ה) לחוק.</w:t>
      </w:r>
    </w:p>
    <w:p w:rsidR="00DA05BE" w:rsidRPr="0049589A" w:rsidRDefault="00DA05BE" w:rsidP="00DA05BE">
      <w:pPr>
        <w:pStyle w:val="P00"/>
        <w:spacing w:before="0"/>
        <w:ind w:left="1021" w:right="1134"/>
        <w:rPr>
          <w:rStyle w:val="default"/>
          <w:rFonts w:cs="FrankRuehl"/>
          <w:color w:val="FF0000"/>
          <w:sz w:val="20"/>
          <w:szCs w:val="20"/>
          <w:shd w:val="clear" w:color="auto" w:fill="FFFF99"/>
          <w:rtl/>
        </w:rPr>
      </w:pPr>
      <w:r w:rsidRPr="0049589A">
        <w:rPr>
          <w:rStyle w:val="default"/>
          <w:rFonts w:cs="FrankRuehl" w:hint="cs"/>
          <w:color w:val="FF0000"/>
          <w:sz w:val="20"/>
          <w:szCs w:val="20"/>
          <w:shd w:val="clear" w:color="auto" w:fill="FFFF99"/>
          <w:rtl/>
        </w:rPr>
        <w:t>מיום 25.11.2018</w:t>
      </w:r>
    </w:p>
    <w:p w:rsidR="00DA05BE" w:rsidRPr="0049589A" w:rsidRDefault="00DA05BE" w:rsidP="00DA05BE">
      <w:pPr>
        <w:pStyle w:val="P00"/>
        <w:spacing w:before="0"/>
        <w:ind w:left="1021" w:right="1134"/>
        <w:rPr>
          <w:rStyle w:val="default"/>
          <w:rFonts w:cs="FrankRuehl"/>
          <w:sz w:val="20"/>
          <w:szCs w:val="20"/>
          <w:shd w:val="clear" w:color="auto" w:fill="FFFF99"/>
          <w:rtl/>
        </w:rPr>
      </w:pPr>
      <w:r w:rsidRPr="0049589A">
        <w:rPr>
          <w:rStyle w:val="default"/>
          <w:rFonts w:cs="FrankRuehl" w:hint="cs"/>
          <w:b/>
          <w:bCs/>
          <w:sz w:val="20"/>
          <w:szCs w:val="20"/>
          <w:shd w:val="clear" w:color="auto" w:fill="FFFF99"/>
          <w:rtl/>
        </w:rPr>
        <w:t>צו תשע"ט-2018</w:t>
      </w:r>
    </w:p>
    <w:p w:rsidR="00DA05BE" w:rsidRPr="0049589A" w:rsidRDefault="00DA05BE" w:rsidP="00DA05BE">
      <w:pPr>
        <w:pStyle w:val="P00"/>
        <w:spacing w:before="0"/>
        <w:ind w:left="1021" w:right="1134"/>
        <w:rPr>
          <w:rStyle w:val="default"/>
          <w:rFonts w:cs="FrankRuehl"/>
          <w:sz w:val="20"/>
          <w:szCs w:val="20"/>
          <w:shd w:val="clear" w:color="auto" w:fill="FFFF99"/>
          <w:rtl/>
        </w:rPr>
      </w:pPr>
      <w:hyperlink r:id="rId6" w:history="1">
        <w:r w:rsidRPr="0049589A">
          <w:rPr>
            <w:rStyle w:val="Hyperlink"/>
            <w:rFonts w:cs="FrankRuehl" w:hint="cs"/>
            <w:szCs w:val="20"/>
            <w:shd w:val="clear" w:color="auto" w:fill="FFFF99"/>
            <w:rtl/>
          </w:rPr>
          <w:t>ק"ת תשע"ט מס' 8111</w:t>
        </w:r>
      </w:hyperlink>
      <w:r w:rsidRPr="0049589A">
        <w:rPr>
          <w:rStyle w:val="default"/>
          <w:rFonts w:cs="FrankRuehl" w:hint="cs"/>
          <w:sz w:val="20"/>
          <w:szCs w:val="20"/>
          <w:shd w:val="clear" w:color="auto" w:fill="FFFF99"/>
          <w:rtl/>
        </w:rPr>
        <w:t xml:space="preserve"> מיום 25.11.2018 עמ' 1356</w:t>
      </w:r>
    </w:p>
    <w:p w:rsidR="00DA05BE" w:rsidRDefault="00DA05BE" w:rsidP="00DA05BE">
      <w:pPr>
        <w:pStyle w:val="P00"/>
        <w:spacing w:before="0"/>
        <w:ind w:left="1021" w:right="1134"/>
        <w:rPr>
          <w:rStyle w:val="default"/>
          <w:rFonts w:cs="FrankRuehl"/>
          <w:sz w:val="20"/>
          <w:szCs w:val="20"/>
          <w:shd w:val="clear" w:color="auto" w:fill="FFFF99"/>
          <w:rtl/>
        </w:rPr>
      </w:pPr>
      <w:r w:rsidRPr="0049589A">
        <w:rPr>
          <w:rStyle w:val="default"/>
          <w:rFonts w:cs="FrankRuehl" w:hint="cs"/>
          <w:b/>
          <w:bCs/>
          <w:sz w:val="20"/>
          <w:szCs w:val="20"/>
          <w:shd w:val="clear" w:color="auto" w:fill="FFFF99"/>
          <w:rtl/>
        </w:rPr>
        <w:t>הוספת פסקה 3(א)(5א)</w:t>
      </w:r>
    </w:p>
    <w:p w:rsidR="0049589A" w:rsidRDefault="0049589A" w:rsidP="00DA05BE">
      <w:pPr>
        <w:pStyle w:val="P00"/>
        <w:spacing w:before="0"/>
        <w:ind w:left="1021" w:right="1134"/>
        <w:rPr>
          <w:rStyle w:val="default"/>
          <w:rFonts w:cs="FrankRuehl"/>
          <w:sz w:val="20"/>
          <w:szCs w:val="20"/>
          <w:shd w:val="clear" w:color="auto" w:fill="FFFF99"/>
          <w:rtl/>
        </w:rPr>
      </w:pPr>
    </w:p>
    <w:p w:rsidR="0049589A" w:rsidRPr="0049589A" w:rsidRDefault="0049589A" w:rsidP="00DA05BE">
      <w:pPr>
        <w:pStyle w:val="P00"/>
        <w:spacing w:before="0"/>
        <w:ind w:left="1021" w:right="1134"/>
        <w:rPr>
          <w:rStyle w:val="default"/>
          <w:rFonts w:cs="FrankRuehl"/>
          <w:color w:val="FF0000"/>
          <w:sz w:val="20"/>
          <w:szCs w:val="20"/>
          <w:shd w:val="clear" w:color="auto" w:fill="FFFF99"/>
          <w:rtl/>
        </w:rPr>
      </w:pPr>
      <w:r w:rsidRPr="0049589A">
        <w:rPr>
          <w:rStyle w:val="default"/>
          <w:rFonts w:cs="FrankRuehl" w:hint="cs"/>
          <w:color w:val="FF0000"/>
          <w:sz w:val="20"/>
          <w:szCs w:val="20"/>
          <w:shd w:val="clear" w:color="auto" w:fill="FFFF99"/>
          <w:rtl/>
        </w:rPr>
        <w:t>מיום 1.1.2021</w:t>
      </w:r>
    </w:p>
    <w:p w:rsidR="0049589A" w:rsidRDefault="0049589A" w:rsidP="00DA05BE">
      <w:pPr>
        <w:pStyle w:val="P00"/>
        <w:spacing w:before="0"/>
        <w:ind w:left="1021" w:right="1134"/>
        <w:rPr>
          <w:rStyle w:val="default"/>
          <w:rFonts w:cs="FrankRuehl"/>
          <w:sz w:val="20"/>
          <w:szCs w:val="20"/>
          <w:shd w:val="clear" w:color="auto" w:fill="FFFF99"/>
          <w:rtl/>
        </w:rPr>
      </w:pPr>
      <w:r>
        <w:rPr>
          <w:rStyle w:val="default"/>
          <w:rFonts w:cs="FrankRuehl" w:hint="cs"/>
          <w:b/>
          <w:bCs/>
          <w:sz w:val="20"/>
          <w:szCs w:val="20"/>
          <w:shd w:val="clear" w:color="auto" w:fill="FFFF99"/>
          <w:rtl/>
        </w:rPr>
        <w:t>צו תשפ"א-2021</w:t>
      </w:r>
    </w:p>
    <w:p w:rsidR="0049589A" w:rsidRDefault="0049589A" w:rsidP="00DA05BE">
      <w:pPr>
        <w:pStyle w:val="P00"/>
        <w:spacing w:before="0"/>
        <w:ind w:left="1021" w:right="1134"/>
        <w:rPr>
          <w:rStyle w:val="default"/>
          <w:rFonts w:cs="FrankRuehl"/>
          <w:sz w:val="20"/>
          <w:szCs w:val="20"/>
          <w:shd w:val="clear" w:color="auto" w:fill="FFFF99"/>
          <w:rtl/>
        </w:rPr>
      </w:pPr>
      <w:hyperlink r:id="rId7" w:history="1">
        <w:r w:rsidRPr="0049589A">
          <w:rPr>
            <w:rStyle w:val="Hyperlink"/>
            <w:rFonts w:cs="FrankRuehl" w:hint="cs"/>
            <w:szCs w:val="20"/>
            <w:shd w:val="clear" w:color="auto" w:fill="FFFF99"/>
            <w:rtl/>
          </w:rPr>
          <w:t>ק"ת תשפ"א מס' 9203</w:t>
        </w:r>
      </w:hyperlink>
      <w:r>
        <w:rPr>
          <w:rStyle w:val="default"/>
          <w:rFonts w:cs="FrankRuehl" w:hint="cs"/>
          <w:sz w:val="20"/>
          <w:szCs w:val="20"/>
          <w:shd w:val="clear" w:color="auto" w:fill="FFFF99"/>
          <w:rtl/>
        </w:rPr>
        <w:t xml:space="preserve"> מיום 23.2.2021 עמ' 2190</w:t>
      </w:r>
    </w:p>
    <w:p w:rsidR="0049589A" w:rsidRPr="0049589A" w:rsidRDefault="0049589A" w:rsidP="00DA05BE">
      <w:pPr>
        <w:pStyle w:val="P00"/>
        <w:spacing w:before="0"/>
        <w:ind w:left="1021" w:right="1134"/>
        <w:rPr>
          <w:rStyle w:val="default"/>
          <w:rFonts w:cs="FrankRuehl"/>
          <w:sz w:val="20"/>
          <w:szCs w:val="20"/>
          <w:shd w:val="clear" w:color="auto" w:fill="FFFF99"/>
          <w:rtl/>
        </w:rPr>
      </w:pPr>
      <w:r>
        <w:rPr>
          <w:rStyle w:val="default"/>
          <w:rFonts w:cs="FrankRuehl" w:hint="cs"/>
          <w:b/>
          <w:bCs/>
          <w:sz w:val="20"/>
          <w:szCs w:val="20"/>
          <w:shd w:val="clear" w:color="auto" w:fill="FFFF99"/>
          <w:rtl/>
        </w:rPr>
        <w:t>הוספת פסקאות 3(א)(1א), 3(א)(5ב)</w:t>
      </w:r>
    </w:p>
    <w:p w:rsidR="00DA05BE" w:rsidRDefault="00323BE4" w:rsidP="004C1080">
      <w:pPr>
        <w:pStyle w:val="P00"/>
        <w:spacing w:before="72"/>
        <w:ind w:left="0" w:right="1134"/>
        <w:rPr>
          <w:rStyle w:val="default"/>
          <w:rFonts w:cs="FrankRuehl"/>
          <w:rtl/>
        </w:rPr>
      </w:pPr>
      <w:bookmarkStart w:id="3" w:name="Seif3"/>
      <w:bookmarkEnd w:id="3"/>
      <w:r>
        <w:rPr>
          <w:lang w:val="he-IL"/>
        </w:rPr>
        <w:pict>
          <v:shape id="_x0000_s1029" type="#_x0000_t202" style="position:absolute;left:0;text-align:left;margin-left:470.35pt;margin-top:7.1pt;width:1in;height:43.2pt;z-index:251655168" filled="f" stroked="f">
            <v:textbox style="mso-next-textbox:#_x0000_s1029" inset="1mm,0,1mm,0">
              <w:txbxContent>
                <w:p w:rsidR="00AF1A5D" w:rsidRDefault="004867EC">
                  <w:pPr>
                    <w:spacing w:line="160" w:lineRule="exact"/>
                    <w:jc w:val="left"/>
                    <w:rPr>
                      <w:rFonts w:cs="Miriam"/>
                      <w:sz w:val="18"/>
                      <w:szCs w:val="18"/>
                      <w:rtl/>
                    </w:rPr>
                  </w:pPr>
                  <w:r>
                    <w:rPr>
                      <w:rFonts w:cs="Miriam" w:hint="cs"/>
                      <w:sz w:val="18"/>
                      <w:szCs w:val="18"/>
                      <w:rtl/>
                    </w:rPr>
                    <w:t xml:space="preserve">הצמדת סכומי </w:t>
                  </w:r>
                  <w:r w:rsidR="00DA05BE">
                    <w:rPr>
                      <w:rFonts w:cs="Miriam" w:hint="cs"/>
                      <w:sz w:val="18"/>
                      <w:szCs w:val="18"/>
                      <w:rtl/>
                    </w:rPr>
                    <w:t>ה</w:t>
                  </w:r>
                  <w:r>
                    <w:rPr>
                      <w:rFonts w:cs="Miriam" w:hint="cs"/>
                      <w:sz w:val="18"/>
                      <w:szCs w:val="18"/>
                      <w:rtl/>
                    </w:rPr>
                    <w:t xml:space="preserve">אגרות, דרכי </w:t>
                  </w:r>
                  <w:r w:rsidR="00DA05BE">
                    <w:rPr>
                      <w:rFonts w:cs="Miriam" w:hint="cs"/>
                      <w:sz w:val="18"/>
                      <w:szCs w:val="18"/>
                      <w:rtl/>
                    </w:rPr>
                    <w:t>ת</w:t>
                  </w:r>
                  <w:r>
                    <w:rPr>
                      <w:rFonts w:cs="Miriam" w:hint="cs"/>
                      <w:sz w:val="18"/>
                      <w:szCs w:val="18"/>
                      <w:rtl/>
                    </w:rPr>
                    <w:t>שלום ומועדי תשלום</w:t>
                  </w:r>
                </w:p>
                <w:p w:rsidR="00DA05BE" w:rsidRDefault="00DA05BE">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4C1080">
        <w:rPr>
          <w:rStyle w:val="default"/>
          <w:rFonts w:cs="FrankRuehl" w:hint="cs"/>
          <w:rtl/>
        </w:rPr>
        <w:t>(א)</w:t>
      </w:r>
      <w:r w:rsidR="004C1080">
        <w:rPr>
          <w:rStyle w:val="default"/>
          <w:rFonts w:cs="FrankRuehl" w:hint="cs"/>
          <w:rtl/>
        </w:rPr>
        <w:tab/>
      </w:r>
      <w:r w:rsidR="00B70002">
        <w:rPr>
          <w:rStyle w:val="default"/>
          <w:rFonts w:cs="FrankRuehl" w:hint="cs"/>
          <w:rtl/>
        </w:rPr>
        <w:t xml:space="preserve">סכומי האגרות יתעדכנו ב-1 בינואר של כל שנה (בסעיף קטן זה </w:t>
      </w:r>
      <w:r w:rsidR="00B70002">
        <w:rPr>
          <w:rStyle w:val="default"/>
          <w:rFonts w:cs="FrankRuehl"/>
          <w:rtl/>
        </w:rPr>
        <w:t>–</w:t>
      </w:r>
      <w:r w:rsidR="00B70002">
        <w:rPr>
          <w:rStyle w:val="default"/>
          <w:rFonts w:cs="FrankRuehl" w:hint="cs"/>
          <w:rtl/>
        </w:rPr>
        <w:t xml:space="preserve"> יום העדכון) לפי שיעור שינוי מדד המחירים לצרכן שמפרסמת הלשכה המרכזית לסטטיסטיקה, הידוע ביום העדכון לעומת מדד ינואר 2017 </w:t>
      </w:r>
      <w:r w:rsidR="00DA05BE" w:rsidRPr="00DA05BE">
        <w:rPr>
          <w:rStyle w:val="default"/>
          <w:rFonts w:cs="FrankRuehl" w:hint="cs"/>
          <w:rtl/>
        </w:rPr>
        <w:t>סכום שעודכן כאמור יעוגל כמפורט להלן:</w:t>
      </w:r>
    </w:p>
    <w:p w:rsidR="00DA05BE" w:rsidRPr="00DA05BE" w:rsidRDefault="00DA05BE" w:rsidP="00DA05BE">
      <w:pPr>
        <w:pStyle w:val="P00"/>
        <w:spacing w:before="72"/>
        <w:ind w:left="1021" w:right="1134"/>
        <w:rPr>
          <w:rStyle w:val="default"/>
          <w:rFonts w:cs="FrankRuehl"/>
          <w:rtl/>
        </w:rPr>
      </w:pPr>
      <w:r w:rsidRPr="00DA05BE">
        <w:rPr>
          <w:rStyle w:val="default"/>
          <w:rFonts w:cs="FrankRuehl" w:hint="cs"/>
          <w:rtl/>
        </w:rPr>
        <w:t>(1)</w:t>
      </w:r>
      <w:r w:rsidRPr="00DA05BE">
        <w:rPr>
          <w:rStyle w:val="default"/>
          <w:rFonts w:cs="FrankRuehl"/>
          <w:rtl/>
        </w:rPr>
        <w:tab/>
      </w:r>
      <w:r w:rsidRPr="00DA05BE">
        <w:rPr>
          <w:rStyle w:val="default"/>
          <w:rFonts w:cs="FrankRuehl" w:hint="cs"/>
          <w:rtl/>
        </w:rPr>
        <w:t>סכום שהוא קטן מ-10 שקלים חדשים, יעוגל לסכום הקרוב שהוא מכפלה של 10 אגורות; סכום של 5 אגורות יעוגל כלפי מעלה;</w:t>
      </w:r>
    </w:p>
    <w:p w:rsidR="00DA05BE" w:rsidRPr="00DA05BE" w:rsidRDefault="00DA05BE" w:rsidP="00DA05BE">
      <w:pPr>
        <w:pStyle w:val="P00"/>
        <w:spacing w:before="72"/>
        <w:ind w:left="1021" w:right="1134"/>
        <w:rPr>
          <w:rStyle w:val="default"/>
          <w:rFonts w:cs="FrankRuehl"/>
          <w:rtl/>
        </w:rPr>
      </w:pPr>
      <w:r w:rsidRPr="00DA05BE">
        <w:rPr>
          <w:rStyle w:val="default"/>
          <w:rFonts w:cs="FrankRuehl" w:hint="cs"/>
          <w:rtl/>
        </w:rPr>
        <w:t>(2)</w:t>
      </w:r>
      <w:r w:rsidRPr="00DA05BE">
        <w:rPr>
          <w:rStyle w:val="default"/>
          <w:rFonts w:cs="FrankRuehl"/>
          <w:rtl/>
        </w:rPr>
        <w:tab/>
      </w:r>
      <w:r w:rsidRPr="00DA05BE">
        <w:rPr>
          <w:rStyle w:val="default"/>
          <w:rFonts w:cs="FrankRuehl" w:hint="cs"/>
          <w:rtl/>
        </w:rPr>
        <w:t>סכום שהוא 10 שקלים חדשים או יותר אך נמוך מ-100 שקלים חדשים, יעוגן לשקל החדש השלם הקרוב; סכום של 50 אגורות יעוגל כלפי מעלה;</w:t>
      </w:r>
    </w:p>
    <w:p w:rsidR="00DA05BE" w:rsidRPr="00DA05BE" w:rsidRDefault="00DA05BE" w:rsidP="00DA05BE">
      <w:pPr>
        <w:pStyle w:val="P00"/>
        <w:spacing w:before="72"/>
        <w:ind w:left="1021" w:right="1134"/>
        <w:rPr>
          <w:rStyle w:val="default"/>
          <w:rFonts w:cs="FrankRuehl"/>
          <w:rtl/>
        </w:rPr>
      </w:pPr>
      <w:r w:rsidRPr="00DA05BE">
        <w:rPr>
          <w:rStyle w:val="default"/>
          <w:rFonts w:cs="FrankRuehl" w:hint="cs"/>
          <w:rtl/>
        </w:rPr>
        <w:t>(3)</w:t>
      </w:r>
      <w:r w:rsidRPr="00DA05BE">
        <w:rPr>
          <w:rStyle w:val="default"/>
          <w:rFonts w:cs="FrankRuehl"/>
          <w:rtl/>
        </w:rPr>
        <w:tab/>
      </w:r>
      <w:r w:rsidRPr="00DA05BE">
        <w:rPr>
          <w:rStyle w:val="default"/>
          <w:rFonts w:cs="FrankRuehl" w:hint="cs"/>
          <w:rtl/>
        </w:rPr>
        <w:t>סכום שהוא 100 שקלים חדשים או יותר אך נמוך מ-1,000 שקלים חדשים, יעוגל לסכום הקרוב שהוא מכפלה של 5 שקלים חדשים; סכום של 2 שקלים ו-50 אגורות יעוגל כלפי מעלה;</w:t>
      </w:r>
    </w:p>
    <w:p w:rsidR="00DA05BE" w:rsidRPr="00DA05BE" w:rsidRDefault="00DA05BE" w:rsidP="00DA05BE">
      <w:pPr>
        <w:pStyle w:val="P00"/>
        <w:spacing w:before="72"/>
        <w:ind w:left="1021" w:right="1134"/>
        <w:rPr>
          <w:rStyle w:val="default"/>
          <w:rFonts w:cs="FrankRuehl" w:hint="cs"/>
          <w:rtl/>
        </w:rPr>
      </w:pPr>
      <w:r w:rsidRPr="00DA05BE">
        <w:rPr>
          <w:rStyle w:val="default"/>
          <w:rFonts w:cs="FrankRuehl" w:hint="cs"/>
          <w:rtl/>
        </w:rPr>
        <w:t>(4)</w:t>
      </w:r>
      <w:r w:rsidRPr="00DA05BE">
        <w:rPr>
          <w:rStyle w:val="default"/>
          <w:rFonts w:cs="FrankRuehl"/>
          <w:rtl/>
        </w:rPr>
        <w:tab/>
      </w:r>
      <w:r w:rsidRPr="00DA05BE">
        <w:rPr>
          <w:rStyle w:val="default"/>
          <w:rFonts w:cs="FrankRuehl" w:hint="cs"/>
          <w:rtl/>
        </w:rPr>
        <w:t>סכום שהוא 1,000 שקלים חדשים או יותר, יעוגל לסכום הקרוב שהוא מכפלה של 10 שקלים חדשים; סכום של 5 שקלים יעוגל כלפי מעלה;</w:t>
      </w:r>
    </w:p>
    <w:p w:rsidR="00323BE4" w:rsidRDefault="00B70002" w:rsidP="004C1080">
      <w:pPr>
        <w:pStyle w:val="P00"/>
        <w:spacing w:before="72"/>
        <w:ind w:left="0" w:right="1134"/>
        <w:rPr>
          <w:rStyle w:val="default"/>
          <w:rFonts w:cs="FrankRuehl"/>
          <w:rtl/>
        </w:rPr>
      </w:pPr>
      <w:r>
        <w:rPr>
          <w:rStyle w:val="default"/>
          <w:rFonts w:cs="FrankRuehl" w:hint="cs"/>
          <w:rtl/>
        </w:rPr>
        <w:t>הסכום המעודכן יפורסם באתר האינטרנט של בנק ישראל</w:t>
      </w:r>
      <w:r w:rsidR="00323BE4">
        <w:rPr>
          <w:rStyle w:val="default"/>
          <w:rFonts w:cs="FrankRuehl" w:hint="cs"/>
          <w:rtl/>
        </w:rPr>
        <w:t>.</w:t>
      </w:r>
    </w:p>
    <w:p w:rsidR="00B70002" w:rsidRDefault="00B70002" w:rsidP="004C10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האגרה בעד רישיון תשולם בתוך 15 ימים ממועד קבלת הרישיון.</w:t>
      </w:r>
    </w:p>
    <w:p w:rsidR="00B70002" w:rsidRDefault="00B70002" w:rsidP="004C108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אגרה שנתית תשולם עד 15 בינואר של השנה שבעדה משולמת האגרה; ואולם אם ניתן הרישיון לאחר אותו יום, תשולם האגרה השנתית לפני מתן הרישיון.</w:t>
      </w:r>
    </w:p>
    <w:p w:rsidR="00B70002" w:rsidRDefault="00B70002" w:rsidP="004C108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סך כל האגרות המוטלות על לשכת האשראי בעד מסירת מידע מהמאגר לפי סעיף 3 ישולמו עד 15 ימים מתום החודש שבעדו משולמות האגרות.</w:t>
      </w:r>
    </w:p>
    <w:p w:rsidR="00B70002" w:rsidRDefault="00B70002" w:rsidP="004C108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לשכת אשראי תשלם את האגרות המוטלות עליה לפי צו זה באמצעות העברה בנקאית לטובת בנק ישראל לחשבון שאת פרטיו ימסור חשב בנק ישראל למבקש או לבעל הרישיון לפי העניין; לקוח ישלם את האגרה בהעברה בנקאית או בכרטיס אשראי באמצעות שרת התשלומים הממשלתי.</w:t>
      </w:r>
    </w:p>
    <w:p w:rsidR="00DA05BE" w:rsidRPr="00DA05BE" w:rsidRDefault="00DA05BE" w:rsidP="00DA05BE">
      <w:pPr>
        <w:pStyle w:val="P00"/>
        <w:spacing w:before="0"/>
        <w:ind w:left="0" w:right="1134"/>
        <w:rPr>
          <w:rStyle w:val="default"/>
          <w:rFonts w:ascii="FrankRuehl" w:hAnsi="FrankRuehl" w:cs="FrankRuehl"/>
          <w:vanish/>
          <w:color w:val="FF0000"/>
          <w:sz w:val="20"/>
          <w:szCs w:val="20"/>
          <w:shd w:val="clear" w:color="auto" w:fill="FFFF99"/>
          <w:rtl/>
        </w:rPr>
      </w:pPr>
      <w:bookmarkStart w:id="4" w:name="Rov7"/>
      <w:r w:rsidRPr="00DA05BE">
        <w:rPr>
          <w:rStyle w:val="default"/>
          <w:rFonts w:ascii="FrankRuehl" w:hAnsi="FrankRuehl" w:cs="FrankRuehl"/>
          <w:vanish/>
          <w:color w:val="FF0000"/>
          <w:sz w:val="20"/>
          <w:szCs w:val="20"/>
          <w:shd w:val="clear" w:color="auto" w:fill="FFFF99"/>
          <w:rtl/>
        </w:rPr>
        <w:t>מיום 25.11.2018</w:t>
      </w:r>
    </w:p>
    <w:p w:rsidR="00DA05BE" w:rsidRPr="00DA05BE" w:rsidRDefault="00DA05BE" w:rsidP="00DA05BE">
      <w:pPr>
        <w:pStyle w:val="P00"/>
        <w:spacing w:before="0"/>
        <w:ind w:left="0" w:right="1134"/>
        <w:rPr>
          <w:rStyle w:val="default"/>
          <w:rFonts w:ascii="FrankRuehl" w:hAnsi="FrankRuehl" w:cs="FrankRuehl"/>
          <w:vanish/>
          <w:sz w:val="20"/>
          <w:szCs w:val="20"/>
          <w:shd w:val="clear" w:color="auto" w:fill="FFFF99"/>
          <w:rtl/>
        </w:rPr>
      </w:pPr>
      <w:r w:rsidRPr="00DA05BE">
        <w:rPr>
          <w:rStyle w:val="default"/>
          <w:rFonts w:ascii="FrankRuehl" w:hAnsi="FrankRuehl" w:cs="FrankRuehl"/>
          <w:b/>
          <w:bCs/>
          <w:vanish/>
          <w:sz w:val="20"/>
          <w:szCs w:val="20"/>
          <w:shd w:val="clear" w:color="auto" w:fill="FFFF99"/>
          <w:rtl/>
        </w:rPr>
        <w:t>צו תשע"ט-2018</w:t>
      </w:r>
    </w:p>
    <w:p w:rsidR="00DA05BE" w:rsidRPr="00DA05BE" w:rsidRDefault="00DA05BE" w:rsidP="00DA05BE">
      <w:pPr>
        <w:pStyle w:val="P00"/>
        <w:spacing w:before="0"/>
        <w:ind w:left="0" w:right="1134"/>
        <w:rPr>
          <w:rStyle w:val="default"/>
          <w:rFonts w:ascii="FrankRuehl" w:hAnsi="FrankRuehl" w:cs="FrankRuehl"/>
          <w:vanish/>
          <w:sz w:val="20"/>
          <w:szCs w:val="20"/>
          <w:shd w:val="clear" w:color="auto" w:fill="FFFF99"/>
          <w:rtl/>
        </w:rPr>
      </w:pPr>
      <w:hyperlink r:id="rId8" w:history="1">
        <w:r w:rsidRPr="00DA05BE">
          <w:rPr>
            <w:rStyle w:val="Hyperlink"/>
            <w:rFonts w:ascii="FrankRuehl" w:hAnsi="FrankRuehl" w:cs="FrankRuehl"/>
            <w:vanish/>
            <w:szCs w:val="20"/>
            <w:shd w:val="clear" w:color="auto" w:fill="FFFF99"/>
            <w:rtl/>
          </w:rPr>
          <w:t>ק"ת תשע"ט מס' 8111</w:t>
        </w:r>
      </w:hyperlink>
      <w:r w:rsidRPr="00DA05BE">
        <w:rPr>
          <w:rStyle w:val="default"/>
          <w:rFonts w:ascii="FrankRuehl" w:hAnsi="FrankRuehl" w:cs="FrankRuehl"/>
          <w:vanish/>
          <w:sz w:val="20"/>
          <w:szCs w:val="20"/>
          <w:shd w:val="clear" w:color="auto" w:fill="FFFF99"/>
          <w:rtl/>
        </w:rPr>
        <w:t xml:space="preserve"> מיום 25.11.2018 עמ' 1356</w:t>
      </w:r>
    </w:p>
    <w:p w:rsidR="00DA05BE" w:rsidRPr="00DA05BE" w:rsidRDefault="00DA05BE" w:rsidP="00DA05BE">
      <w:pPr>
        <w:pStyle w:val="P00"/>
        <w:ind w:left="0" w:right="1134"/>
        <w:rPr>
          <w:rStyle w:val="default"/>
          <w:rFonts w:cs="FrankRuehl"/>
          <w:vanish/>
          <w:sz w:val="22"/>
          <w:szCs w:val="22"/>
          <w:u w:val="single"/>
          <w:shd w:val="clear" w:color="auto" w:fill="FFFF99"/>
          <w:rtl/>
        </w:rPr>
      </w:pPr>
      <w:r w:rsidRPr="00DA05BE">
        <w:rPr>
          <w:rStyle w:val="default"/>
          <w:rFonts w:cs="FrankRuehl"/>
          <w:vanish/>
          <w:sz w:val="22"/>
          <w:szCs w:val="22"/>
          <w:shd w:val="clear" w:color="auto" w:fill="FFFF99"/>
          <w:rtl/>
        </w:rPr>
        <w:tab/>
      </w:r>
      <w:r w:rsidRPr="00DA05BE">
        <w:rPr>
          <w:rStyle w:val="default"/>
          <w:rFonts w:cs="FrankRuehl" w:hint="cs"/>
          <w:vanish/>
          <w:sz w:val="22"/>
          <w:szCs w:val="22"/>
          <w:shd w:val="clear" w:color="auto" w:fill="FFFF99"/>
          <w:rtl/>
        </w:rPr>
        <w:t>(א)</w:t>
      </w:r>
      <w:r w:rsidRPr="00DA05BE">
        <w:rPr>
          <w:rStyle w:val="default"/>
          <w:rFonts w:cs="FrankRuehl" w:hint="cs"/>
          <w:vanish/>
          <w:sz w:val="22"/>
          <w:szCs w:val="22"/>
          <w:shd w:val="clear" w:color="auto" w:fill="FFFF99"/>
          <w:rtl/>
        </w:rPr>
        <w:tab/>
        <w:t xml:space="preserve">סכומי האגרות יתעדכנו ב-1 בינואר של כל שנה (בסעיף קטן זה </w:t>
      </w:r>
      <w:r w:rsidRPr="00DA05BE">
        <w:rPr>
          <w:rStyle w:val="default"/>
          <w:rFonts w:cs="FrankRuehl"/>
          <w:vanish/>
          <w:sz w:val="22"/>
          <w:szCs w:val="22"/>
          <w:shd w:val="clear" w:color="auto" w:fill="FFFF99"/>
          <w:rtl/>
        </w:rPr>
        <w:t>–</w:t>
      </w:r>
      <w:r w:rsidRPr="00DA05BE">
        <w:rPr>
          <w:rStyle w:val="default"/>
          <w:rFonts w:cs="FrankRuehl" w:hint="cs"/>
          <w:vanish/>
          <w:sz w:val="22"/>
          <w:szCs w:val="22"/>
          <w:shd w:val="clear" w:color="auto" w:fill="FFFF99"/>
          <w:rtl/>
        </w:rPr>
        <w:t xml:space="preserve"> יום העדכון) לפי שיעור שינוי מדד המחירים לצרכן שמפרסמת הלשכה המרכזית לסטטיסטיקה, הידוע ביום העדכון לעומת מדד ינואר 2017 </w:t>
      </w:r>
      <w:r w:rsidRPr="00DA05BE">
        <w:rPr>
          <w:rStyle w:val="default"/>
          <w:rFonts w:cs="FrankRuehl" w:hint="cs"/>
          <w:strike/>
          <w:vanish/>
          <w:sz w:val="22"/>
          <w:szCs w:val="22"/>
          <w:shd w:val="clear" w:color="auto" w:fill="FFFF99"/>
          <w:rtl/>
        </w:rPr>
        <w:t>ויעוגל לסכום הקרוב השלם שהוא מכפלה של 10 שקלים חדשים;</w:t>
      </w:r>
      <w:r w:rsidRPr="00DA05BE">
        <w:rPr>
          <w:rStyle w:val="default"/>
          <w:rFonts w:cs="FrankRuehl" w:hint="cs"/>
          <w:vanish/>
          <w:sz w:val="22"/>
          <w:szCs w:val="22"/>
          <w:shd w:val="clear" w:color="auto" w:fill="FFFF99"/>
          <w:rtl/>
        </w:rPr>
        <w:t xml:space="preserve"> </w:t>
      </w:r>
      <w:r w:rsidRPr="00DA05BE">
        <w:rPr>
          <w:rStyle w:val="default"/>
          <w:rFonts w:cs="FrankRuehl" w:hint="cs"/>
          <w:vanish/>
          <w:sz w:val="22"/>
          <w:szCs w:val="22"/>
          <w:u w:val="single"/>
          <w:shd w:val="clear" w:color="auto" w:fill="FFFF99"/>
          <w:rtl/>
        </w:rPr>
        <w:t>סכום שעודכן כאמור יעוגל כמפורט להלן:</w:t>
      </w:r>
    </w:p>
    <w:p w:rsidR="00DA05BE" w:rsidRPr="00DA05BE" w:rsidRDefault="00DA05BE" w:rsidP="00DA05BE">
      <w:pPr>
        <w:pStyle w:val="P00"/>
        <w:spacing w:before="0"/>
        <w:ind w:left="1021" w:right="1134"/>
        <w:rPr>
          <w:rStyle w:val="default"/>
          <w:rFonts w:cs="FrankRuehl"/>
          <w:vanish/>
          <w:sz w:val="22"/>
          <w:szCs w:val="22"/>
          <w:u w:val="single"/>
          <w:shd w:val="clear" w:color="auto" w:fill="FFFF99"/>
          <w:rtl/>
        </w:rPr>
      </w:pPr>
      <w:r w:rsidRPr="00DA05BE">
        <w:rPr>
          <w:rStyle w:val="default"/>
          <w:rFonts w:cs="FrankRuehl" w:hint="cs"/>
          <w:vanish/>
          <w:sz w:val="22"/>
          <w:szCs w:val="22"/>
          <w:u w:val="single"/>
          <w:shd w:val="clear" w:color="auto" w:fill="FFFF99"/>
          <w:rtl/>
        </w:rPr>
        <w:t>(1)</w:t>
      </w:r>
      <w:r w:rsidRPr="00DA05BE">
        <w:rPr>
          <w:rStyle w:val="default"/>
          <w:rFonts w:cs="FrankRuehl"/>
          <w:vanish/>
          <w:sz w:val="22"/>
          <w:szCs w:val="22"/>
          <w:u w:val="single"/>
          <w:shd w:val="clear" w:color="auto" w:fill="FFFF99"/>
          <w:rtl/>
        </w:rPr>
        <w:tab/>
      </w:r>
      <w:r w:rsidRPr="00DA05BE">
        <w:rPr>
          <w:rStyle w:val="default"/>
          <w:rFonts w:cs="FrankRuehl" w:hint="cs"/>
          <w:vanish/>
          <w:sz w:val="22"/>
          <w:szCs w:val="22"/>
          <w:u w:val="single"/>
          <w:shd w:val="clear" w:color="auto" w:fill="FFFF99"/>
          <w:rtl/>
        </w:rPr>
        <w:t>סכום שהוא קטן מ-10 שקלים חדשים, יעוגל לסכום הקרוב שהוא מכפלה של 10 אגורות; סכום של 5 אגורות יעוגל כלפי מעלה;</w:t>
      </w:r>
    </w:p>
    <w:p w:rsidR="00DA05BE" w:rsidRPr="00DA05BE" w:rsidRDefault="00DA05BE" w:rsidP="00DA05BE">
      <w:pPr>
        <w:pStyle w:val="P00"/>
        <w:spacing w:before="0"/>
        <w:ind w:left="1021" w:right="1134"/>
        <w:rPr>
          <w:rStyle w:val="default"/>
          <w:rFonts w:cs="FrankRuehl"/>
          <w:vanish/>
          <w:sz w:val="22"/>
          <w:szCs w:val="22"/>
          <w:u w:val="single"/>
          <w:shd w:val="clear" w:color="auto" w:fill="FFFF99"/>
          <w:rtl/>
        </w:rPr>
      </w:pPr>
      <w:r w:rsidRPr="00DA05BE">
        <w:rPr>
          <w:rStyle w:val="default"/>
          <w:rFonts w:cs="FrankRuehl" w:hint="cs"/>
          <w:vanish/>
          <w:sz w:val="22"/>
          <w:szCs w:val="22"/>
          <w:u w:val="single"/>
          <w:shd w:val="clear" w:color="auto" w:fill="FFFF99"/>
          <w:rtl/>
        </w:rPr>
        <w:t>(2)</w:t>
      </w:r>
      <w:r w:rsidRPr="00DA05BE">
        <w:rPr>
          <w:rStyle w:val="default"/>
          <w:rFonts w:cs="FrankRuehl"/>
          <w:vanish/>
          <w:sz w:val="22"/>
          <w:szCs w:val="22"/>
          <w:u w:val="single"/>
          <w:shd w:val="clear" w:color="auto" w:fill="FFFF99"/>
          <w:rtl/>
        </w:rPr>
        <w:tab/>
      </w:r>
      <w:r w:rsidRPr="00DA05BE">
        <w:rPr>
          <w:rStyle w:val="default"/>
          <w:rFonts w:cs="FrankRuehl" w:hint="cs"/>
          <w:vanish/>
          <w:sz w:val="22"/>
          <w:szCs w:val="22"/>
          <w:u w:val="single"/>
          <w:shd w:val="clear" w:color="auto" w:fill="FFFF99"/>
          <w:rtl/>
        </w:rPr>
        <w:t>סכום שהוא 10 שקלים חדשים או יותר אך נמוך מ-100 שקלים חדשים, יעוגן לשקל החדש השלם הקרוב; סכום של 50 אגורות יעוגל כלפי מעלה;</w:t>
      </w:r>
    </w:p>
    <w:p w:rsidR="00DA05BE" w:rsidRPr="00DA05BE" w:rsidRDefault="00DA05BE" w:rsidP="00DA05BE">
      <w:pPr>
        <w:pStyle w:val="P00"/>
        <w:spacing w:before="0"/>
        <w:ind w:left="1021" w:right="1134"/>
        <w:rPr>
          <w:rStyle w:val="default"/>
          <w:rFonts w:cs="FrankRuehl"/>
          <w:vanish/>
          <w:sz w:val="22"/>
          <w:szCs w:val="22"/>
          <w:u w:val="single"/>
          <w:shd w:val="clear" w:color="auto" w:fill="FFFF99"/>
          <w:rtl/>
        </w:rPr>
      </w:pPr>
      <w:r w:rsidRPr="00DA05BE">
        <w:rPr>
          <w:rStyle w:val="default"/>
          <w:rFonts w:cs="FrankRuehl" w:hint="cs"/>
          <w:vanish/>
          <w:sz w:val="22"/>
          <w:szCs w:val="22"/>
          <w:u w:val="single"/>
          <w:shd w:val="clear" w:color="auto" w:fill="FFFF99"/>
          <w:rtl/>
        </w:rPr>
        <w:t>(3)</w:t>
      </w:r>
      <w:r w:rsidRPr="00DA05BE">
        <w:rPr>
          <w:rStyle w:val="default"/>
          <w:rFonts w:cs="FrankRuehl"/>
          <w:vanish/>
          <w:sz w:val="22"/>
          <w:szCs w:val="22"/>
          <w:u w:val="single"/>
          <w:shd w:val="clear" w:color="auto" w:fill="FFFF99"/>
          <w:rtl/>
        </w:rPr>
        <w:tab/>
      </w:r>
      <w:r w:rsidRPr="00DA05BE">
        <w:rPr>
          <w:rStyle w:val="default"/>
          <w:rFonts w:cs="FrankRuehl" w:hint="cs"/>
          <w:vanish/>
          <w:sz w:val="22"/>
          <w:szCs w:val="22"/>
          <w:u w:val="single"/>
          <w:shd w:val="clear" w:color="auto" w:fill="FFFF99"/>
          <w:rtl/>
        </w:rPr>
        <w:t>סכום שהוא 100 שקלים חדשים או יותר אך נמוך מ-1,000 שקלים חדשים, יעוגל לסכום הקרוב שהוא מכפלה של 5 שקלים חדשים; סכום של 2 שקלים ו-50 אגורות יעוגל כלפי מעלה;</w:t>
      </w:r>
    </w:p>
    <w:p w:rsidR="00DA05BE" w:rsidRPr="00DA05BE" w:rsidRDefault="00DA05BE" w:rsidP="00DA05BE">
      <w:pPr>
        <w:pStyle w:val="P00"/>
        <w:spacing w:before="0"/>
        <w:ind w:left="1021" w:right="1134"/>
        <w:rPr>
          <w:rStyle w:val="default"/>
          <w:rFonts w:cs="FrankRuehl" w:hint="cs"/>
          <w:vanish/>
          <w:sz w:val="22"/>
          <w:szCs w:val="22"/>
          <w:shd w:val="clear" w:color="auto" w:fill="FFFF99"/>
          <w:rtl/>
        </w:rPr>
      </w:pPr>
      <w:r w:rsidRPr="00DA05BE">
        <w:rPr>
          <w:rStyle w:val="default"/>
          <w:rFonts w:cs="FrankRuehl" w:hint="cs"/>
          <w:vanish/>
          <w:sz w:val="22"/>
          <w:szCs w:val="22"/>
          <w:u w:val="single"/>
          <w:shd w:val="clear" w:color="auto" w:fill="FFFF99"/>
          <w:rtl/>
        </w:rPr>
        <w:t>(4)</w:t>
      </w:r>
      <w:r w:rsidRPr="00DA05BE">
        <w:rPr>
          <w:rStyle w:val="default"/>
          <w:rFonts w:cs="FrankRuehl"/>
          <w:vanish/>
          <w:sz w:val="22"/>
          <w:szCs w:val="22"/>
          <w:u w:val="single"/>
          <w:shd w:val="clear" w:color="auto" w:fill="FFFF99"/>
          <w:rtl/>
        </w:rPr>
        <w:tab/>
      </w:r>
      <w:r w:rsidRPr="00DA05BE">
        <w:rPr>
          <w:rStyle w:val="default"/>
          <w:rFonts w:cs="FrankRuehl" w:hint="cs"/>
          <w:vanish/>
          <w:sz w:val="22"/>
          <w:szCs w:val="22"/>
          <w:u w:val="single"/>
          <w:shd w:val="clear" w:color="auto" w:fill="FFFF99"/>
          <w:rtl/>
        </w:rPr>
        <w:t>סכום שהוא 1,000 שקלים חדשים או יותר, יעוגל לסכום הקרוב שהוא מכפלה של 10 שקלים חדשים; סכום של 5 שקלים יעוגל כלפי מעלה;</w:t>
      </w:r>
    </w:p>
    <w:p w:rsidR="00DA05BE" w:rsidRPr="00DA05BE" w:rsidRDefault="00DA05BE" w:rsidP="00DA05BE">
      <w:pPr>
        <w:pStyle w:val="P00"/>
        <w:spacing w:before="0"/>
        <w:ind w:left="0" w:right="1134"/>
        <w:rPr>
          <w:rStyle w:val="default"/>
          <w:rFonts w:cs="FrankRuehl"/>
          <w:sz w:val="2"/>
          <w:szCs w:val="2"/>
          <w:rtl/>
        </w:rPr>
      </w:pPr>
      <w:r w:rsidRPr="00DA05BE">
        <w:rPr>
          <w:rStyle w:val="default"/>
          <w:rFonts w:cs="FrankRuehl" w:hint="cs"/>
          <w:vanish/>
          <w:sz w:val="22"/>
          <w:szCs w:val="22"/>
          <w:shd w:val="clear" w:color="auto" w:fill="FFFF99"/>
          <w:rtl/>
        </w:rPr>
        <w:t>הסכום המעודכן יפורסם באתר האינטרנט של בנק ישראל.</w:t>
      </w:r>
      <w:bookmarkEnd w:id="4"/>
    </w:p>
    <w:p w:rsidR="00323BE4" w:rsidRDefault="00323BE4" w:rsidP="004C1080">
      <w:pPr>
        <w:pStyle w:val="P00"/>
        <w:spacing w:before="72"/>
        <w:ind w:left="0" w:right="1134"/>
        <w:rPr>
          <w:rStyle w:val="default"/>
          <w:rFonts w:cs="FrankRuehl"/>
          <w:rtl/>
        </w:rPr>
      </w:pPr>
      <w:bookmarkStart w:id="5" w:name="Seif4"/>
      <w:bookmarkEnd w:id="5"/>
      <w:r>
        <w:rPr>
          <w:lang w:val="he-IL"/>
        </w:rPr>
        <w:pict>
          <v:shape id="_x0000_s1030" type="#_x0000_t202" style="position:absolute;left:0;text-align:left;margin-left:464.7pt;margin-top:7.1pt;width:77.65pt;height:26.15pt;z-index:251656192" filled="f" stroked="f">
            <v:textbox inset="1mm,0,1mm,0">
              <w:txbxContent>
                <w:p w:rsidR="004867EC" w:rsidRDefault="00B70002" w:rsidP="004C1080">
                  <w:pPr>
                    <w:spacing w:line="160" w:lineRule="exact"/>
                    <w:jc w:val="left"/>
                    <w:rPr>
                      <w:rFonts w:cs="Miriam" w:hint="cs"/>
                      <w:sz w:val="18"/>
                      <w:szCs w:val="18"/>
                      <w:rtl/>
                    </w:rPr>
                  </w:pPr>
                  <w:r>
                    <w:rPr>
                      <w:rFonts w:cs="Miriam" w:hint="cs"/>
                      <w:sz w:val="18"/>
                      <w:szCs w:val="18"/>
                      <w:rtl/>
                    </w:rPr>
                    <w:t>הפרשי הצמדה וריבית בשל אגרה שלא שולמה במועדה</w:t>
                  </w:r>
                </w:p>
              </w:txbxContent>
            </v:textbox>
          </v:shape>
        </w:pict>
      </w:r>
      <w:r>
        <w:rPr>
          <w:rStyle w:val="default"/>
          <w:rFonts w:cs="Miriam"/>
          <w:sz w:val="32"/>
          <w:szCs w:val="32"/>
          <w:rtl/>
        </w:rPr>
        <w:t>5</w:t>
      </w:r>
      <w:r>
        <w:rPr>
          <w:rStyle w:val="default"/>
          <w:rFonts w:cs="FrankRuehl"/>
          <w:rtl/>
        </w:rPr>
        <w:t>.</w:t>
      </w:r>
      <w:r>
        <w:rPr>
          <w:rStyle w:val="default"/>
          <w:rFonts w:cs="FrankRuehl"/>
          <w:rtl/>
        </w:rPr>
        <w:tab/>
      </w:r>
      <w:r w:rsidR="00B70002">
        <w:rPr>
          <w:rStyle w:val="default"/>
          <w:rFonts w:cs="FrankRuehl" w:hint="cs"/>
          <w:rtl/>
        </w:rPr>
        <w:t>לא שילמה לשכת האשראי או לשכת מידע על עוסקים את האגרה במועדה, ייווספו לאגרה, לתקופת הפיגור, הפרשי הצמדה וריבית כהגדרתם בחוק פסיקת ריבית והצמדה, התשכ"א-1961, עד לתשלומה</w:t>
      </w:r>
      <w:r w:rsidR="004C1080">
        <w:rPr>
          <w:rStyle w:val="default"/>
          <w:rFonts w:cs="FrankRuehl" w:hint="cs"/>
          <w:rtl/>
        </w:rPr>
        <w:t>.</w:t>
      </w:r>
    </w:p>
    <w:p w:rsidR="00DA05BE" w:rsidRDefault="00DA05BE" w:rsidP="00DA05BE">
      <w:pPr>
        <w:pStyle w:val="P00"/>
        <w:spacing w:before="72"/>
        <w:ind w:left="0" w:right="1134"/>
        <w:rPr>
          <w:rStyle w:val="default"/>
          <w:rFonts w:cs="FrankRuehl"/>
          <w:rtl/>
        </w:rPr>
      </w:pPr>
      <w:r>
        <w:rPr>
          <w:lang w:val="he-IL"/>
        </w:rPr>
        <w:pict>
          <v:shape id="_x0000_s1034" type="#_x0000_t202" style="position:absolute;left:0;text-align:left;margin-left:464.7pt;margin-top:7.1pt;width:77.65pt;height:20.9pt;z-index:251659264" filled="f" stroked="f">
            <v:textbox inset="1mm,0,1mm,0">
              <w:txbxContent>
                <w:p w:rsidR="00DA05BE" w:rsidRDefault="00DA05BE" w:rsidP="00DA05BE">
                  <w:pPr>
                    <w:spacing w:line="160" w:lineRule="exact"/>
                    <w:jc w:val="left"/>
                    <w:rPr>
                      <w:rFonts w:cs="Miriam"/>
                      <w:sz w:val="18"/>
                      <w:szCs w:val="18"/>
                      <w:rtl/>
                    </w:rPr>
                  </w:pPr>
                  <w:r>
                    <w:rPr>
                      <w:rFonts w:cs="Miriam" w:hint="cs"/>
                      <w:sz w:val="18"/>
                      <w:szCs w:val="18"/>
                      <w:rtl/>
                    </w:rPr>
                    <w:t>תחילה</w:t>
                  </w:r>
                </w:p>
                <w:p w:rsidR="00DA05BE" w:rsidRDefault="00DA05BE" w:rsidP="00DA05BE">
                  <w:pPr>
                    <w:spacing w:line="160" w:lineRule="exact"/>
                    <w:jc w:val="left"/>
                    <w:rPr>
                      <w:rFonts w:cs="Miriam" w:hint="cs"/>
                      <w:sz w:val="18"/>
                      <w:szCs w:val="18"/>
                      <w:rtl/>
                    </w:rPr>
                  </w:pPr>
                  <w:r>
                    <w:rPr>
                      <w:rFonts w:cs="Miriam" w:hint="cs"/>
                      <w:sz w:val="18"/>
                      <w:szCs w:val="18"/>
                      <w:rtl/>
                    </w:rPr>
                    <w:t>צו תשע"ט-2018</w:t>
                  </w:r>
                </w:p>
              </w:txbxContent>
            </v:textbox>
          </v:shape>
        </w:pict>
      </w:r>
      <w:r>
        <w:rPr>
          <w:rStyle w:val="default"/>
          <w:rFonts w:cs="Miriam" w:hint="cs"/>
          <w:sz w:val="32"/>
          <w:szCs w:val="32"/>
          <w:rtl/>
        </w:rPr>
        <w:t>6</w:t>
      </w:r>
      <w:r>
        <w:rPr>
          <w:rStyle w:val="default"/>
          <w:rFonts w:cs="FrankRuehl"/>
          <w:rtl/>
        </w:rPr>
        <w:t>.</w:t>
      </w:r>
      <w:r>
        <w:rPr>
          <w:rStyle w:val="default"/>
          <w:rFonts w:cs="FrankRuehl"/>
          <w:rtl/>
        </w:rPr>
        <w:tab/>
      </w:r>
      <w:r>
        <w:rPr>
          <w:rStyle w:val="default"/>
          <w:rFonts w:cs="FrankRuehl" w:hint="cs"/>
          <w:rtl/>
        </w:rPr>
        <w:t>תחילתו של צו זה ביום תחילת החוק; ואולם תחילתן של ההוראות לפי צו זה לעניין האגרות המפורטות בטור א' בטבלה שבתוספת, תהיה כמפורט בטור ב' לצדו.</w:t>
      </w:r>
    </w:p>
    <w:p w:rsidR="00DA05BE" w:rsidRPr="00DA05BE" w:rsidRDefault="00DA05BE" w:rsidP="00DA05BE">
      <w:pPr>
        <w:pStyle w:val="P00"/>
        <w:spacing w:before="0"/>
        <w:ind w:left="0" w:right="1134"/>
        <w:rPr>
          <w:rStyle w:val="default"/>
          <w:rFonts w:ascii="FrankRuehl" w:hAnsi="FrankRuehl" w:cs="FrankRuehl"/>
          <w:vanish/>
          <w:color w:val="FF0000"/>
          <w:sz w:val="20"/>
          <w:szCs w:val="20"/>
          <w:shd w:val="clear" w:color="auto" w:fill="FFFF99"/>
          <w:rtl/>
        </w:rPr>
      </w:pPr>
      <w:bookmarkStart w:id="6" w:name="Rov8"/>
      <w:r w:rsidRPr="00DA05BE">
        <w:rPr>
          <w:rStyle w:val="default"/>
          <w:rFonts w:ascii="FrankRuehl" w:hAnsi="FrankRuehl" w:cs="FrankRuehl"/>
          <w:vanish/>
          <w:color w:val="FF0000"/>
          <w:sz w:val="20"/>
          <w:szCs w:val="20"/>
          <w:shd w:val="clear" w:color="auto" w:fill="FFFF99"/>
          <w:rtl/>
        </w:rPr>
        <w:t>מיום 25.11.2018</w:t>
      </w:r>
    </w:p>
    <w:p w:rsidR="00DA05BE" w:rsidRPr="00DA05BE" w:rsidRDefault="00DA05BE" w:rsidP="00DA05BE">
      <w:pPr>
        <w:pStyle w:val="P00"/>
        <w:spacing w:before="0"/>
        <w:ind w:left="0" w:right="1134"/>
        <w:rPr>
          <w:rStyle w:val="default"/>
          <w:rFonts w:ascii="FrankRuehl" w:hAnsi="FrankRuehl" w:cs="FrankRuehl"/>
          <w:vanish/>
          <w:sz w:val="20"/>
          <w:szCs w:val="20"/>
          <w:shd w:val="clear" w:color="auto" w:fill="FFFF99"/>
          <w:rtl/>
        </w:rPr>
      </w:pPr>
      <w:r w:rsidRPr="00DA05BE">
        <w:rPr>
          <w:rStyle w:val="default"/>
          <w:rFonts w:ascii="FrankRuehl" w:hAnsi="FrankRuehl" w:cs="FrankRuehl"/>
          <w:b/>
          <w:bCs/>
          <w:vanish/>
          <w:sz w:val="20"/>
          <w:szCs w:val="20"/>
          <w:shd w:val="clear" w:color="auto" w:fill="FFFF99"/>
          <w:rtl/>
        </w:rPr>
        <w:t>צו תשע"ט-2018</w:t>
      </w:r>
    </w:p>
    <w:p w:rsidR="00DA05BE" w:rsidRPr="00DA05BE" w:rsidRDefault="00DA05BE" w:rsidP="00DA05BE">
      <w:pPr>
        <w:pStyle w:val="P00"/>
        <w:spacing w:before="0"/>
        <w:ind w:left="0" w:right="1134"/>
        <w:rPr>
          <w:rStyle w:val="default"/>
          <w:rFonts w:ascii="FrankRuehl" w:hAnsi="FrankRuehl" w:cs="FrankRuehl"/>
          <w:vanish/>
          <w:sz w:val="20"/>
          <w:szCs w:val="20"/>
          <w:shd w:val="clear" w:color="auto" w:fill="FFFF99"/>
          <w:rtl/>
        </w:rPr>
      </w:pPr>
      <w:hyperlink r:id="rId9" w:history="1">
        <w:r w:rsidRPr="00DA05BE">
          <w:rPr>
            <w:rStyle w:val="Hyperlink"/>
            <w:rFonts w:ascii="FrankRuehl" w:hAnsi="FrankRuehl" w:cs="FrankRuehl"/>
            <w:vanish/>
            <w:szCs w:val="20"/>
            <w:shd w:val="clear" w:color="auto" w:fill="FFFF99"/>
            <w:rtl/>
          </w:rPr>
          <w:t>ק"ת תשע"ט מס' 8111</w:t>
        </w:r>
      </w:hyperlink>
      <w:r w:rsidRPr="00DA05BE">
        <w:rPr>
          <w:rStyle w:val="default"/>
          <w:rFonts w:ascii="FrankRuehl" w:hAnsi="FrankRuehl" w:cs="FrankRuehl"/>
          <w:vanish/>
          <w:sz w:val="20"/>
          <w:szCs w:val="20"/>
          <w:shd w:val="clear" w:color="auto" w:fill="FFFF99"/>
          <w:rtl/>
        </w:rPr>
        <w:t xml:space="preserve"> מיום 25.11.2018 עמ' 1356</w:t>
      </w:r>
    </w:p>
    <w:p w:rsidR="00DA05BE" w:rsidRPr="00DA05BE" w:rsidRDefault="00DA05BE" w:rsidP="00DA05BE">
      <w:pPr>
        <w:pStyle w:val="P00"/>
        <w:spacing w:before="0"/>
        <w:ind w:left="0" w:right="1134"/>
        <w:rPr>
          <w:rStyle w:val="default"/>
          <w:rFonts w:ascii="FrankRuehl" w:hAnsi="FrankRuehl" w:cs="FrankRuehl"/>
          <w:sz w:val="2"/>
          <w:szCs w:val="2"/>
          <w:rtl/>
        </w:rPr>
      </w:pPr>
      <w:r w:rsidRPr="00DA05BE">
        <w:rPr>
          <w:rStyle w:val="default"/>
          <w:rFonts w:ascii="FrankRuehl" w:hAnsi="FrankRuehl" w:cs="FrankRuehl" w:hint="cs"/>
          <w:b/>
          <w:bCs/>
          <w:vanish/>
          <w:sz w:val="20"/>
          <w:szCs w:val="20"/>
          <w:shd w:val="clear" w:color="auto" w:fill="FFFF99"/>
          <w:rtl/>
        </w:rPr>
        <w:t>הוספת סעיף 6</w:t>
      </w:r>
      <w:bookmarkEnd w:id="6"/>
    </w:p>
    <w:p w:rsidR="00DA05BE" w:rsidRDefault="00DA05BE">
      <w:pPr>
        <w:pStyle w:val="P00"/>
        <w:spacing w:before="72"/>
        <w:ind w:left="0" w:right="1134"/>
        <w:rPr>
          <w:rStyle w:val="default"/>
          <w:rFonts w:cs="FrankRuehl"/>
          <w:rtl/>
        </w:rPr>
      </w:pPr>
    </w:p>
    <w:p w:rsidR="00C04671" w:rsidRPr="00C04671" w:rsidRDefault="00C04671" w:rsidP="00C04671">
      <w:pPr>
        <w:pStyle w:val="medium2-header"/>
        <w:keepLines w:val="0"/>
        <w:spacing w:before="72"/>
        <w:ind w:left="0" w:right="1134"/>
        <w:rPr>
          <w:rFonts w:cs="FrankRuehl" w:hint="cs"/>
          <w:noProof/>
          <w:sz w:val="20"/>
          <w:rtl/>
        </w:rPr>
      </w:pPr>
      <w:r w:rsidRPr="00C04671">
        <w:rPr>
          <w:rFonts w:cs="FrankRuehl"/>
          <w:noProof/>
          <w:sz w:val="20"/>
        </w:rPr>
        <w:pict>
          <v:rect id="_x0000_s1035" style="position:absolute;left:0;text-align:left;margin-left:464.35pt;margin-top:7.1pt;width:75.05pt;height:12.9pt;z-index:251660288" o:allowincell="f" filled="f" stroked="f" strokecolor="lime" strokeweight=".25pt">
            <v:textbox style="mso-next-textbox:#_x0000_s1035" inset="0,0,0,0">
              <w:txbxContent>
                <w:p w:rsidR="00C04671" w:rsidRDefault="00C04671" w:rsidP="00C04671">
                  <w:pPr>
                    <w:spacing w:line="160" w:lineRule="exact"/>
                    <w:jc w:val="left"/>
                    <w:rPr>
                      <w:rFonts w:cs="Miriam"/>
                      <w:noProof/>
                      <w:szCs w:val="18"/>
                      <w:rtl/>
                    </w:rPr>
                  </w:pPr>
                  <w:r>
                    <w:rPr>
                      <w:rFonts w:cs="Miriam" w:hint="cs"/>
                      <w:sz w:val="20"/>
                      <w:szCs w:val="18"/>
                      <w:rtl/>
                    </w:rPr>
                    <w:t>צו תשע"ט-2018</w:t>
                  </w:r>
                </w:p>
              </w:txbxContent>
            </v:textbox>
            <w10:anchorlock/>
          </v:rect>
        </w:pict>
      </w:r>
      <w:r>
        <w:rPr>
          <w:rFonts w:cs="FrankRuehl" w:hint="cs"/>
          <w:noProof/>
          <w:sz w:val="20"/>
          <w:rtl/>
        </w:rPr>
        <w:t>תוספת</w:t>
      </w:r>
    </w:p>
    <w:p w:rsidR="00DA05BE" w:rsidRPr="00C04671" w:rsidRDefault="00C04671" w:rsidP="00C04671">
      <w:pPr>
        <w:pStyle w:val="P00"/>
        <w:spacing w:before="72"/>
        <w:ind w:left="0" w:right="1134"/>
        <w:jc w:val="center"/>
        <w:rPr>
          <w:rStyle w:val="default"/>
          <w:rFonts w:cs="FrankRuehl"/>
          <w:sz w:val="24"/>
          <w:szCs w:val="24"/>
          <w:rtl/>
        </w:rPr>
      </w:pPr>
      <w:r w:rsidRPr="00C04671">
        <w:rPr>
          <w:rStyle w:val="default"/>
          <w:rFonts w:cs="FrankRuehl" w:hint="cs"/>
          <w:sz w:val="24"/>
          <w:szCs w:val="24"/>
          <w:rtl/>
        </w:rPr>
        <w:t>(סעיף 6)</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2"/>
        <w:gridCol w:w="3986"/>
      </w:tblGrid>
      <w:tr w:rsidR="00C04671" w:rsidRPr="00F32EA0" w:rsidTr="00F32EA0">
        <w:tc>
          <w:tcPr>
            <w:tcW w:w="4644" w:type="dxa"/>
            <w:shd w:val="clear" w:color="auto" w:fill="auto"/>
          </w:tcPr>
          <w:p w:rsidR="00C04671" w:rsidRPr="00F32EA0" w:rsidRDefault="00C04671" w:rsidP="00F32E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F32EA0">
              <w:rPr>
                <w:rStyle w:val="default"/>
                <w:rFonts w:cs="FrankRuehl" w:hint="cs"/>
                <w:sz w:val="18"/>
                <w:szCs w:val="22"/>
                <w:rtl/>
              </w:rPr>
              <w:t>טור א'</w:t>
            </w:r>
          </w:p>
        </w:tc>
        <w:tc>
          <w:tcPr>
            <w:tcW w:w="4644" w:type="dxa"/>
            <w:shd w:val="clear" w:color="auto" w:fill="auto"/>
          </w:tcPr>
          <w:p w:rsidR="00C04671" w:rsidRPr="00F32EA0" w:rsidRDefault="00C04671" w:rsidP="00F32E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F32EA0">
              <w:rPr>
                <w:rStyle w:val="default"/>
                <w:rFonts w:cs="FrankRuehl" w:hint="cs"/>
                <w:sz w:val="18"/>
                <w:szCs w:val="22"/>
                <w:rtl/>
              </w:rPr>
              <w:t>טור ב'</w:t>
            </w:r>
          </w:p>
        </w:tc>
      </w:tr>
      <w:tr w:rsidR="00C04671" w:rsidRPr="00F32EA0" w:rsidTr="00F32EA0">
        <w:tc>
          <w:tcPr>
            <w:tcW w:w="4644" w:type="dxa"/>
            <w:shd w:val="clear" w:color="auto" w:fill="auto"/>
          </w:tcPr>
          <w:p w:rsidR="00C04671" w:rsidRPr="00F32EA0" w:rsidRDefault="00C04671" w:rsidP="00F32E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32EA0">
              <w:rPr>
                <w:rStyle w:val="default"/>
                <w:rFonts w:cs="FrankRuehl" w:hint="cs"/>
                <w:sz w:val="20"/>
                <w:szCs w:val="24"/>
                <w:rtl/>
              </w:rPr>
              <w:t>(1) אגרה בעד רישיון לפי סעיף 1</w:t>
            </w:r>
          </w:p>
        </w:tc>
        <w:tc>
          <w:tcPr>
            <w:tcW w:w="4644" w:type="dxa"/>
            <w:shd w:val="clear" w:color="auto" w:fill="auto"/>
          </w:tcPr>
          <w:p w:rsidR="00C04671" w:rsidRPr="00F32EA0" w:rsidRDefault="00C04671" w:rsidP="00F32E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32EA0">
              <w:rPr>
                <w:rStyle w:val="default"/>
                <w:rFonts w:cs="FrankRuehl" w:hint="cs"/>
                <w:sz w:val="20"/>
                <w:szCs w:val="24"/>
                <w:rtl/>
              </w:rPr>
              <w:t>ביום פרסום צו נתוני אשראי (אגרות) (תיקון), התשע"ט-2018</w:t>
            </w:r>
          </w:p>
        </w:tc>
      </w:tr>
      <w:tr w:rsidR="00C04671" w:rsidRPr="00F32EA0" w:rsidTr="00F32EA0">
        <w:tc>
          <w:tcPr>
            <w:tcW w:w="4644" w:type="dxa"/>
            <w:shd w:val="clear" w:color="auto" w:fill="auto"/>
          </w:tcPr>
          <w:p w:rsidR="00C04671" w:rsidRPr="00F32EA0" w:rsidRDefault="00C04671" w:rsidP="00F32E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32EA0">
              <w:rPr>
                <w:rStyle w:val="default"/>
                <w:rFonts w:cs="FrankRuehl" w:hint="cs"/>
                <w:sz w:val="20"/>
                <w:szCs w:val="24"/>
                <w:rtl/>
              </w:rPr>
              <w:t>(2) אגרה בעד גישה שנתית למאגר המידע הבלתי מזוהה לפי סעיף 3(א)(6)</w:t>
            </w:r>
          </w:p>
        </w:tc>
        <w:tc>
          <w:tcPr>
            <w:tcW w:w="4644" w:type="dxa"/>
            <w:shd w:val="clear" w:color="auto" w:fill="auto"/>
          </w:tcPr>
          <w:p w:rsidR="00C04671" w:rsidRPr="00F32EA0" w:rsidRDefault="00C04671" w:rsidP="00F32E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32EA0">
              <w:rPr>
                <w:rStyle w:val="default"/>
                <w:rFonts w:cs="FrankRuehl" w:hint="cs"/>
                <w:sz w:val="20"/>
                <w:szCs w:val="24"/>
                <w:rtl/>
              </w:rPr>
              <w:t>ביום כ"ד בטבת התשע"ט (1 בינואר 2019)</w:t>
            </w:r>
          </w:p>
        </w:tc>
      </w:tr>
    </w:tbl>
    <w:p w:rsidR="00DA05BE" w:rsidRPr="00C04671" w:rsidRDefault="00DA05BE" w:rsidP="00C04671">
      <w:pPr>
        <w:pStyle w:val="P00"/>
        <w:spacing w:before="0"/>
        <w:ind w:left="0" w:right="1134"/>
        <w:rPr>
          <w:rStyle w:val="default"/>
          <w:rFonts w:ascii="FrankRuehl" w:hAnsi="FrankRuehl" w:cs="FrankRuehl"/>
          <w:sz w:val="20"/>
          <w:szCs w:val="20"/>
          <w:rtl/>
        </w:rPr>
      </w:pPr>
    </w:p>
    <w:p w:rsidR="00DA05BE" w:rsidRPr="00C04671" w:rsidRDefault="00DA05BE" w:rsidP="00DA05BE">
      <w:pPr>
        <w:pStyle w:val="P00"/>
        <w:spacing w:before="0"/>
        <w:ind w:left="0" w:right="1134"/>
        <w:rPr>
          <w:rStyle w:val="default"/>
          <w:rFonts w:ascii="FrankRuehl" w:hAnsi="FrankRuehl" w:cs="FrankRuehl"/>
          <w:vanish/>
          <w:color w:val="FF0000"/>
          <w:sz w:val="20"/>
          <w:szCs w:val="20"/>
          <w:shd w:val="clear" w:color="auto" w:fill="FFFF99"/>
          <w:rtl/>
        </w:rPr>
      </w:pPr>
      <w:bookmarkStart w:id="7" w:name="Rov9"/>
      <w:r w:rsidRPr="00C04671">
        <w:rPr>
          <w:rStyle w:val="default"/>
          <w:rFonts w:ascii="FrankRuehl" w:hAnsi="FrankRuehl" w:cs="FrankRuehl"/>
          <w:vanish/>
          <w:color w:val="FF0000"/>
          <w:sz w:val="20"/>
          <w:szCs w:val="20"/>
          <w:shd w:val="clear" w:color="auto" w:fill="FFFF99"/>
          <w:rtl/>
        </w:rPr>
        <w:t>מיום 25.11.2018</w:t>
      </w:r>
    </w:p>
    <w:p w:rsidR="00DA05BE" w:rsidRPr="00C04671" w:rsidRDefault="00DA05BE" w:rsidP="00DA05BE">
      <w:pPr>
        <w:pStyle w:val="P00"/>
        <w:spacing w:before="0"/>
        <w:ind w:left="0" w:right="1134"/>
        <w:rPr>
          <w:rStyle w:val="default"/>
          <w:rFonts w:ascii="FrankRuehl" w:hAnsi="FrankRuehl" w:cs="FrankRuehl"/>
          <w:vanish/>
          <w:sz w:val="20"/>
          <w:szCs w:val="20"/>
          <w:shd w:val="clear" w:color="auto" w:fill="FFFF99"/>
          <w:rtl/>
        </w:rPr>
      </w:pPr>
      <w:r w:rsidRPr="00C04671">
        <w:rPr>
          <w:rStyle w:val="default"/>
          <w:rFonts w:ascii="FrankRuehl" w:hAnsi="FrankRuehl" w:cs="FrankRuehl"/>
          <w:b/>
          <w:bCs/>
          <w:vanish/>
          <w:sz w:val="20"/>
          <w:szCs w:val="20"/>
          <w:shd w:val="clear" w:color="auto" w:fill="FFFF99"/>
          <w:rtl/>
        </w:rPr>
        <w:t>צו תשע"ט-2018</w:t>
      </w:r>
    </w:p>
    <w:p w:rsidR="00DA05BE" w:rsidRPr="00C04671" w:rsidRDefault="00DA05BE" w:rsidP="00DA05BE">
      <w:pPr>
        <w:pStyle w:val="P00"/>
        <w:spacing w:before="0"/>
        <w:ind w:left="0" w:right="1134"/>
        <w:rPr>
          <w:rStyle w:val="default"/>
          <w:rFonts w:ascii="FrankRuehl" w:hAnsi="FrankRuehl" w:cs="FrankRuehl"/>
          <w:vanish/>
          <w:sz w:val="20"/>
          <w:szCs w:val="20"/>
          <w:shd w:val="clear" w:color="auto" w:fill="FFFF99"/>
          <w:rtl/>
        </w:rPr>
      </w:pPr>
      <w:hyperlink r:id="rId10" w:history="1">
        <w:r w:rsidRPr="00C04671">
          <w:rPr>
            <w:rStyle w:val="Hyperlink"/>
            <w:rFonts w:ascii="FrankRuehl" w:hAnsi="FrankRuehl" w:cs="FrankRuehl"/>
            <w:vanish/>
            <w:szCs w:val="20"/>
            <w:shd w:val="clear" w:color="auto" w:fill="FFFF99"/>
            <w:rtl/>
          </w:rPr>
          <w:t>ק"ת תשע"ט מס' 8111</w:t>
        </w:r>
      </w:hyperlink>
      <w:r w:rsidRPr="00C04671">
        <w:rPr>
          <w:rStyle w:val="default"/>
          <w:rFonts w:ascii="FrankRuehl" w:hAnsi="FrankRuehl" w:cs="FrankRuehl"/>
          <w:vanish/>
          <w:sz w:val="20"/>
          <w:szCs w:val="20"/>
          <w:shd w:val="clear" w:color="auto" w:fill="FFFF99"/>
          <w:rtl/>
        </w:rPr>
        <w:t xml:space="preserve"> מיום 25.11.2018 עמ' 1356</w:t>
      </w:r>
    </w:p>
    <w:p w:rsidR="00DA05BE" w:rsidRPr="00C04671" w:rsidRDefault="00DA05BE" w:rsidP="00C04671">
      <w:pPr>
        <w:pStyle w:val="P00"/>
        <w:spacing w:before="0"/>
        <w:ind w:left="0" w:right="1134"/>
        <w:rPr>
          <w:rStyle w:val="default"/>
          <w:rFonts w:ascii="FrankRuehl" w:hAnsi="FrankRuehl" w:cs="FrankRuehl"/>
          <w:sz w:val="2"/>
          <w:szCs w:val="2"/>
          <w:rtl/>
        </w:rPr>
      </w:pPr>
      <w:r w:rsidRPr="00C04671">
        <w:rPr>
          <w:rStyle w:val="default"/>
          <w:rFonts w:ascii="FrankRuehl" w:hAnsi="FrankRuehl" w:cs="FrankRuehl" w:hint="cs"/>
          <w:b/>
          <w:bCs/>
          <w:vanish/>
          <w:sz w:val="20"/>
          <w:szCs w:val="20"/>
          <w:shd w:val="clear" w:color="auto" w:fill="FFFF99"/>
          <w:rtl/>
        </w:rPr>
        <w:t>הוספת תוספת</w:t>
      </w:r>
      <w:bookmarkEnd w:id="7"/>
    </w:p>
    <w:p w:rsidR="00DA05BE" w:rsidRDefault="00DA05BE">
      <w:pPr>
        <w:pStyle w:val="P00"/>
        <w:spacing w:before="72"/>
        <w:ind w:left="0" w:right="1134"/>
        <w:rPr>
          <w:rStyle w:val="default"/>
          <w:rFonts w:cs="FrankRuehl"/>
          <w:rtl/>
        </w:rPr>
      </w:pPr>
    </w:p>
    <w:p w:rsidR="00DA05BE" w:rsidRDefault="00DA05BE">
      <w:pPr>
        <w:pStyle w:val="P00"/>
        <w:spacing w:before="72"/>
        <w:ind w:left="0" w:right="1134"/>
        <w:rPr>
          <w:rStyle w:val="default"/>
          <w:rFonts w:cs="FrankRuehl" w:hint="cs"/>
          <w:rtl/>
        </w:rPr>
      </w:pPr>
    </w:p>
    <w:p w:rsidR="00323BE4" w:rsidRDefault="00B70002" w:rsidP="004867E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י"ח בחשוון התשע"ח (7 בנובמבר 2017)</w:t>
      </w:r>
      <w:r w:rsidR="00323BE4">
        <w:rPr>
          <w:rStyle w:val="default"/>
          <w:rFonts w:cs="FrankRuehl" w:hint="cs"/>
          <w:rtl/>
        </w:rPr>
        <w:tab/>
      </w:r>
      <w:r>
        <w:rPr>
          <w:rStyle w:val="default"/>
          <w:rFonts w:cs="FrankRuehl" w:hint="cs"/>
          <w:rtl/>
        </w:rPr>
        <w:t>קרנית פלוג</w:t>
      </w:r>
    </w:p>
    <w:p w:rsidR="00323BE4" w:rsidRDefault="00323BE4" w:rsidP="004867EC">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B70002">
        <w:rPr>
          <w:rStyle w:val="default"/>
          <w:rFonts w:cs="FrankRuehl" w:hint="cs"/>
          <w:sz w:val="22"/>
          <w:szCs w:val="22"/>
          <w:rtl/>
        </w:rPr>
        <w:t>נגידת בנק ישראל</w:t>
      </w:r>
    </w:p>
    <w:p w:rsidR="004867EC" w:rsidRDefault="004867EC">
      <w:pPr>
        <w:pStyle w:val="P00"/>
        <w:spacing w:before="72"/>
        <w:ind w:left="0" w:right="1134"/>
        <w:rPr>
          <w:rStyle w:val="default"/>
          <w:rFonts w:cs="FrankRuehl" w:hint="cs"/>
          <w:rtl/>
        </w:rPr>
      </w:pPr>
    </w:p>
    <w:p w:rsidR="00BB57C1" w:rsidRDefault="00BB57C1">
      <w:pPr>
        <w:pStyle w:val="P00"/>
        <w:spacing w:before="72"/>
        <w:ind w:left="0" w:right="1134"/>
        <w:rPr>
          <w:rStyle w:val="default"/>
          <w:rFonts w:cs="FrankRuehl"/>
          <w:rtl/>
        </w:rPr>
      </w:pPr>
    </w:p>
    <w:p w:rsidR="00B02119" w:rsidRDefault="00B02119">
      <w:pPr>
        <w:pStyle w:val="P00"/>
        <w:spacing w:before="72"/>
        <w:ind w:left="0" w:right="1134"/>
        <w:rPr>
          <w:rStyle w:val="default"/>
          <w:rFonts w:cs="FrankRuehl"/>
          <w:rtl/>
        </w:rPr>
      </w:pPr>
    </w:p>
    <w:p w:rsidR="00B02119" w:rsidRDefault="00B02119" w:rsidP="00B02119">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rsidR="00A861A3" w:rsidRPr="00B02119" w:rsidRDefault="00A861A3" w:rsidP="00B02119">
      <w:pPr>
        <w:pStyle w:val="P00"/>
        <w:spacing w:before="72"/>
        <w:ind w:left="0" w:right="1134"/>
        <w:jc w:val="center"/>
        <w:rPr>
          <w:rStyle w:val="default"/>
          <w:rFonts w:cs="David"/>
          <w:color w:val="0000FF"/>
          <w:szCs w:val="24"/>
          <w:u w:val="single"/>
          <w:rtl/>
        </w:rPr>
      </w:pPr>
    </w:p>
    <w:sectPr w:rsidR="00A861A3" w:rsidRPr="00B02119">
      <w:headerReference w:type="default" r:id="rId12"/>
      <w:footerReference w:type="default" r:id="rId13"/>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17D" w:rsidRDefault="004A117D">
      <w:r>
        <w:separator/>
      </w:r>
    </w:p>
  </w:endnote>
  <w:endnote w:type="continuationSeparator" w:id="0">
    <w:p w:rsidR="004A117D" w:rsidRDefault="004A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7EC" w:rsidRDefault="004867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5C0A05">
      <w:rPr>
        <w:rFonts w:hAnsi="FrankRuehl" w:cs="FrankRuehl"/>
        <w:noProof/>
        <w:sz w:val="24"/>
        <w:szCs w:val="24"/>
        <w:rtl/>
      </w:rPr>
      <w:t>3</w:t>
    </w:r>
    <w:r>
      <w:rPr>
        <w:rFonts w:hAnsi="FrankRuehl" w:cs="FrankRuehl"/>
        <w:sz w:val="24"/>
        <w:szCs w:val="24"/>
        <w:rtl/>
      </w:rPr>
      <w:fldChar w:fldCharType="end"/>
    </w:r>
  </w:p>
  <w:p w:rsidR="004867EC" w:rsidRDefault="004867EC">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4867EC" w:rsidRDefault="004867EC">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Pr>
        <w:rFonts w:ascii="TopType Jerushalmi" w:hAnsi="TopType Jerushalmi" w:cs="TopType Jerushalmi"/>
        <w:noProof/>
        <w:color w:val="000000"/>
        <w:sz w:val="14"/>
        <w:szCs w:val="14"/>
      </w:rPr>
      <w:t>Z:\000-law\yael\2014\2014-09-07\Laws For Table Run\Laws For Table Run\999_001.doc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17D" w:rsidRDefault="004A117D">
      <w:pPr>
        <w:spacing w:before="60" w:line="240" w:lineRule="auto"/>
        <w:ind w:right="1134"/>
      </w:pPr>
      <w:r>
        <w:separator/>
      </w:r>
    </w:p>
  </w:footnote>
  <w:footnote w:type="continuationSeparator" w:id="0">
    <w:p w:rsidR="004A117D" w:rsidRDefault="004A117D">
      <w:r>
        <w:separator/>
      </w:r>
    </w:p>
  </w:footnote>
  <w:footnote w:id="1">
    <w:p w:rsidR="00202F01" w:rsidRDefault="004867EC" w:rsidP="00202F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ורס</w:t>
      </w:r>
      <w:r>
        <w:rPr>
          <w:rFonts w:cs="FrankRuehl"/>
          <w:rtl/>
        </w:rPr>
        <w:t>ם</w:t>
      </w:r>
      <w:r>
        <w:rPr>
          <w:rFonts w:cs="FrankRuehl" w:hint="cs"/>
          <w:rtl/>
        </w:rPr>
        <w:t xml:space="preserve"> </w:t>
      </w:r>
      <w:hyperlink r:id="rId1" w:history="1">
        <w:r w:rsidRPr="00202F01">
          <w:rPr>
            <w:rStyle w:val="Hyperlink"/>
            <w:rFonts w:cs="FrankRuehl" w:hint="cs"/>
            <w:rtl/>
          </w:rPr>
          <w:t>ק"ת תשע"ח מס' 7885</w:t>
        </w:r>
      </w:hyperlink>
      <w:r>
        <w:rPr>
          <w:rFonts w:cs="FrankRuehl" w:hint="cs"/>
          <w:rtl/>
        </w:rPr>
        <w:t xml:space="preserve"> מיום 22.11.2017 עמ' 215.</w:t>
      </w:r>
    </w:p>
    <w:p w:rsidR="00D1225A" w:rsidRDefault="00DA05BE" w:rsidP="00D12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D1225A">
          <w:rPr>
            <w:rStyle w:val="Hyperlink"/>
            <w:rFonts w:cs="FrankRuehl" w:hint="cs"/>
            <w:rtl/>
          </w:rPr>
          <w:t>ק"ת תשע"ט מס' 8111</w:t>
        </w:r>
      </w:hyperlink>
      <w:r>
        <w:rPr>
          <w:rFonts w:cs="FrankRuehl" w:hint="cs"/>
          <w:rtl/>
        </w:rPr>
        <w:t xml:space="preserve"> מיום 25.11.2018 עמ' 1355 </w:t>
      </w:r>
      <w:r>
        <w:rPr>
          <w:rFonts w:cs="FrankRuehl"/>
          <w:rtl/>
        </w:rPr>
        <w:t>–</w:t>
      </w:r>
      <w:r>
        <w:rPr>
          <w:rFonts w:cs="FrankRuehl" w:hint="cs"/>
          <w:rtl/>
        </w:rPr>
        <w:t xml:space="preserve"> צו תשע"ט-2018.</w:t>
      </w:r>
    </w:p>
    <w:p w:rsidR="005C0A05" w:rsidRDefault="005C0A05" w:rsidP="005C0A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D5045" w:rsidRPr="005C0A05">
          <w:rPr>
            <w:rStyle w:val="Hyperlink"/>
            <w:rFonts w:cs="FrankRuehl" w:hint="cs"/>
            <w:rtl/>
          </w:rPr>
          <w:t>ק"ת תשפ"א מס' 9203</w:t>
        </w:r>
      </w:hyperlink>
      <w:r w:rsidR="00ED5045">
        <w:rPr>
          <w:rFonts w:cs="FrankRuehl" w:hint="cs"/>
          <w:rtl/>
        </w:rPr>
        <w:t xml:space="preserve"> מיום 23.2.2021 עמ' 2190 </w:t>
      </w:r>
      <w:r w:rsidR="00ED5045">
        <w:rPr>
          <w:rFonts w:cs="FrankRuehl"/>
          <w:rtl/>
        </w:rPr>
        <w:t>–</w:t>
      </w:r>
      <w:r w:rsidR="00ED5045">
        <w:rPr>
          <w:rFonts w:cs="FrankRuehl" w:hint="cs"/>
          <w:rtl/>
        </w:rPr>
        <w:t xml:space="preserve"> צו תשפ"א-2021; תחילתו ביום 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7EC" w:rsidRDefault="004867EC" w:rsidP="00A62362">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צו נתוני אשראי (אגרות), תשע"ח-2017</w:t>
    </w:r>
  </w:p>
  <w:p w:rsidR="004867EC" w:rsidRDefault="004867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hint="cs"/>
        <w:color w:val="000000"/>
        <w:sz w:val="26"/>
        <w:szCs w:val="26"/>
        <w:rtl/>
      </w:rPr>
      <w:t>נוסח מלא ומעודכן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0567A"/>
    <w:rsid w:val="00037433"/>
    <w:rsid w:val="00057F3F"/>
    <w:rsid w:val="00076A61"/>
    <w:rsid w:val="00080998"/>
    <w:rsid w:val="00083686"/>
    <w:rsid w:val="000966E3"/>
    <w:rsid w:val="000B46EE"/>
    <w:rsid w:val="000E0EE7"/>
    <w:rsid w:val="00110B25"/>
    <w:rsid w:val="00122C84"/>
    <w:rsid w:val="00124042"/>
    <w:rsid w:val="00126070"/>
    <w:rsid w:val="001612EB"/>
    <w:rsid w:val="00181E8A"/>
    <w:rsid w:val="001B33A9"/>
    <w:rsid w:val="001E1FB1"/>
    <w:rsid w:val="001E273E"/>
    <w:rsid w:val="001F58A0"/>
    <w:rsid w:val="00202F01"/>
    <w:rsid w:val="0021742E"/>
    <w:rsid w:val="00294825"/>
    <w:rsid w:val="002C1740"/>
    <w:rsid w:val="00301A97"/>
    <w:rsid w:val="00315AB2"/>
    <w:rsid w:val="00323BE4"/>
    <w:rsid w:val="0038374B"/>
    <w:rsid w:val="003910CE"/>
    <w:rsid w:val="0039333A"/>
    <w:rsid w:val="003A15CE"/>
    <w:rsid w:val="003B7CC3"/>
    <w:rsid w:val="003C0AA0"/>
    <w:rsid w:val="003C2EA9"/>
    <w:rsid w:val="003D775B"/>
    <w:rsid w:val="003D7BEC"/>
    <w:rsid w:val="003E1A0A"/>
    <w:rsid w:val="004009DA"/>
    <w:rsid w:val="004278C6"/>
    <w:rsid w:val="00481FAA"/>
    <w:rsid w:val="004838E7"/>
    <w:rsid w:val="004867EC"/>
    <w:rsid w:val="0049589A"/>
    <w:rsid w:val="004A117D"/>
    <w:rsid w:val="004A74AD"/>
    <w:rsid w:val="004C1080"/>
    <w:rsid w:val="004C3CA1"/>
    <w:rsid w:val="004D7AD4"/>
    <w:rsid w:val="00502910"/>
    <w:rsid w:val="00511E6B"/>
    <w:rsid w:val="00512B5F"/>
    <w:rsid w:val="00533300"/>
    <w:rsid w:val="005726FD"/>
    <w:rsid w:val="00584876"/>
    <w:rsid w:val="0059479A"/>
    <w:rsid w:val="005A0142"/>
    <w:rsid w:val="005B680B"/>
    <w:rsid w:val="005C0A05"/>
    <w:rsid w:val="005E76A5"/>
    <w:rsid w:val="00602D60"/>
    <w:rsid w:val="00627DF2"/>
    <w:rsid w:val="0063144C"/>
    <w:rsid w:val="00635FCA"/>
    <w:rsid w:val="00654B4C"/>
    <w:rsid w:val="0066160E"/>
    <w:rsid w:val="00662FA6"/>
    <w:rsid w:val="00665FF5"/>
    <w:rsid w:val="00673768"/>
    <w:rsid w:val="006B49FB"/>
    <w:rsid w:val="006C3632"/>
    <w:rsid w:val="00705F53"/>
    <w:rsid w:val="00724C23"/>
    <w:rsid w:val="00745671"/>
    <w:rsid w:val="00752F07"/>
    <w:rsid w:val="00754816"/>
    <w:rsid w:val="00757FFA"/>
    <w:rsid w:val="007715F2"/>
    <w:rsid w:val="007D23A4"/>
    <w:rsid w:val="00803A4C"/>
    <w:rsid w:val="00805BA4"/>
    <w:rsid w:val="00827FBE"/>
    <w:rsid w:val="00836F6E"/>
    <w:rsid w:val="008459BD"/>
    <w:rsid w:val="00847D53"/>
    <w:rsid w:val="0085052E"/>
    <w:rsid w:val="00874DAE"/>
    <w:rsid w:val="008B35C2"/>
    <w:rsid w:val="008B4E8B"/>
    <w:rsid w:val="008F7040"/>
    <w:rsid w:val="0091132B"/>
    <w:rsid w:val="0095457F"/>
    <w:rsid w:val="00961F73"/>
    <w:rsid w:val="00975428"/>
    <w:rsid w:val="00982DA4"/>
    <w:rsid w:val="00982F5C"/>
    <w:rsid w:val="009B0F9D"/>
    <w:rsid w:val="009B39EF"/>
    <w:rsid w:val="009C1F5C"/>
    <w:rsid w:val="009C70E9"/>
    <w:rsid w:val="009E78B1"/>
    <w:rsid w:val="00A30099"/>
    <w:rsid w:val="00A34358"/>
    <w:rsid w:val="00A354D9"/>
    <w:rsid w:val="00A4150D"/>
    <w:rsid w:val="00A55758"/>
    <w:rsid w:val="00A62362"/>
    <w:rsid w:val="00A861A3"/>
    <w:rsid w:val="00A92A17"/>
    <w:rsid w:val="00A95126"/>
    <w:rsid w:val="00AB6B17"/>
    <w:rsid w:val="00AE4520"/>
    <w:rsid w:val="00AF1A5D"/>
    <w:rsid w:val="00B02119"/>
    <w:rsid w:val="00B02599"/>
    <w:rsid w:val="00B70002"/>
    <w:rsid w:val="00BB3D0F"/>
    <w:rsid w:val="00BB4873"/>
    <w:rsid w:val="00BB57C1"/>
    <w:rsid w:val="00BB7C37"/>
    <w:rsid w:val="00BD20E6"/>
    <w:rsid w:val="00C04671"/>
    <w:rsid w:val="00C15D6D"/>
    <w:rsid w:val="00C2469C"/>
    <w:rsid w:val="00C246CA"/>
    <w:rsid w:val="00C3142E"/>
    <w:rsid w:val="00C519A4"/>
    <w:rsid w:val="00C526EC"/>
    <w:rsid w:val="00C556E6"/>
    <w:rsid w:val="00C747AA"/>
    <w:rsid w:val="00CA1236"/>
    <w:rsid w:val="00CA6458"/>
    <w:rsid w:val="00CB1785"/>
    <w:rsid w:val="00CB6225"/>
    <w:rsid w:val="00CD05B7"/>
    <w:rsid w:val="00CD158C"/>
    <w:rsid w:val="00CF1CCD"/>
    <w:rsid w:val="00CF57ED"/>
    <w:rsid w:val="00D1225A"/>
    <w:rsid w:val="00D512BB"/>
    <w:rsid w:val="00D75DDB"/>
    <w:rsid w:val="00D82CCB"/>
    <w:rsid w:val="00D92B86"/>
    <w:rsid w:val="00DA05BE"/>
    <w:rsid w:val="00DC6154"/>
    <w:rsid w:val="00DD04B6"/>
    <w:rsid w:val="00DD19E2"/>
    <w:rsid w:val="00DD4C17"/>
    <w:rsid w:val="00DE17B5"/>
    <w:rsid w:val="00DE640A"/>
    <w:rsid w:val="00E01433"/>
    <w:rsid w:val="00E063FC"/>
    <w:rsid w:val="00E522AC"/>
    <w:rsid w:val="00E771D8"/>
    <w:rsid w:val="00E87534"/>
    <w:rsid w:val="00ED5045"/>
    <w:rsid w:val="00ED7F15"/>
    <w:rsid w:val="00EF2AFF"/>
    <w:rsid w:val="00EF4EE4"/>
    <w:rsid w:val="00F03229"/>
    <w:rsid w:val="00F071E5"/>
    <w:rsid w:val="00F3121C"/>
    <w:rsid w:val="00F32E09"/>
    <w:rsid w:val="00F32EA0"/>
    <w:rsid w:val="00F478B9"/>
    <w:rsid w:val="00F539B5"/>
    <w:rsid w:val="00F6266F"/>
    <w:rsid w:val="00F63ACF"/>
    <w:rsid w:val="00F94239"/>
    <w:rsid w:val="00FC4B0D"/>
    <w:rsid w:val="00FE49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DE90BAA-60FC-4B2B-AE39-A301D6DE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DA05BE"/>
    <w:rPr>
      <w:color w:val="605E5C"/>
      <w:shd w:val="clear" w:color="auto" w:fill="E1DFDD"/>
    </w:rPr>
  </w:style>
  <w:style w:type="table" w:styleId="a9">
    <w:name w:val="Table Grid"/>
    <w:basedOn w:val="a1"/>
    <w:rsid w:val="00C0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11.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06/tak-9203.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111.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nevo.co.il/Law_word/law06/tak-8111.pdf" TargetMode="External"/><Relationship Id="rId4" Type="http://schemas.openxmlformats.org/officeDocument/2006/relationships/footnotes" Target="footnotes.xml"/><Relationship Id="rId9" Type="http://schemas.openxmlformats.org/officeDocument/2006/relationships/hyperlink" Target="http://www.nevo.co.il/Law_word/law06/tak-811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203.pdf" TargetMode="External"/><Relationship Id="rId2" Type="http://schemas.openxmlformats.org/officeDocument/2006/relationships/hyperlink" Target="http://www.nevo.co.il/Law_word/law06/TAK-8111.pdf" TargetMode="External"/><Relationship Id="rId1" Type="http://schemas.openxmlformats.org/officeDocument/2006/relationships/hyperlink" Target="http://www.nevo.co.il/Law_word/law06/tak-78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6909</CharactersWithSpaces>
  <SharedDoc>false</SharedDoc>
  <HLinks>
    <vt:vector size="84" baseType="variant">
      <vt:variant>
        <vt:i4>393283</vt:i4>
      </vt:variant>
      <vt:variant>
        <vt:i4>45</vt:i4>
      </vt:variant>
      <vt:variant>
        <vt:i4>0</vt:i4>
      </vt:variant>
      <vt:variant>
        <vt:i4>5</vt:i4>
      </vt:variant>
      <vt:variant>
        <vt:lpwstr>http://www.nevo.co.il/advertisements/nevo-100.doc</vt:lpwstr>
      </vt:variant>
      <vt:variant>
        <vt:lpwstr/>
      </vt:variant>
      <vt:variant>
        <vt:i4>7340040</vt:i4>
      </vt:variant>
      <vt:variant>
        <vt:i4>42</vt:i4>
      </vt:variant>
      <vt:variant>
        <vt:i4>0</vt:i4>
      </vt:variant>
      <vt:variant>
        <vt:i4>5</vt:i4>
      </vt:variant>
      <vt:variant>
        <vt:lpwstr>http://www.nevo.co.il/Law_word/law06/tak-8111.pdf</vt:lpwstr>
      </vt:variant>
      <vt:variant>
        <vt:lpwstr/>
      </vt:variant>
      <vt:variant>
        <vt:i4>7340040</vt:i4>
      </vt:variant>
      <vt:variant>
        <vt:i4>39</vt:i4>
      </vt:variant>
      <vt:variant>
        <vt:i4>0</vt:i4>
      </vt:variant>
      <vt:variant>
        <vt:i4>5</vt:i4>
      </vt:variant>
      <vt:variant>
        <vt:lpwstr>http://www.nevo.co.il/Law_word/law06/tak-8111.pdf</vt:lpwstr>
      </vt:variant>
      <vt:variant>
        <vt:lpwstr/>
      </vt:variant>
      <vt:variant>
        <vt:i4>7340040</vt:i4>
      </vt:variant>
      <vt:variant>
        <vt:i4>36</vt:i4>
      </vt:variant>
      <vt:variant>
        <vt:i4>0</vt:i4>
      </vt:variant>
      <vt:variant>
        <vt:i4>5</vt:i4>
      </vt:variant>
      <vt:variant>
        <vt:lpwstr>http://www.nevo.co.il/Law_word/law06/tak-8111.pdf</vt:lpwstr>
      </vt:variant>
      <vt:variant>
        <vt:lpwstr/>
      </vt:variant>
      <vt:variant>
        <vt:i4>7798811</vt:i4>
      </vt:variant>
      <vt:variant>
        <vt:i4>33</vt:i4>
      </vt:variant>
      <vt:variant>
        <vt:i4>0</vt:i4>
      </vt:variant>
      <vt:variant>
        <vt:i4>5</vt:i4>
      </vt:variant>
      <vt:variant>
        <vt:lpwstr>https://www.nevo.co.il/Law_word/law06/tak-9203.pdf</vt:lpwstr>
      </vt:variant>
      <vt:variant>
        <vt:lpwstr/>
      </vt:variant>
      <vt:variant>
        <vt:i4>7340040</vt:i4>
      </vt:variant>
      <vt:variant>
        <vt:i4>30</vt:i4>
      </vt:variant>
      <vt:variant>
        <vt:i4>0</vt:i4>
      </vt:variant>
      <vt:variant>
        <vt:i4>5</vt:i4>
      </vt:variant>
      <vt:variant>
        <vt:lpwstr>http://www.nevo.co.il/Law_word/law06/tak-8111.pdf</vt:lpwstr>
      </vt:variant>
      <vt:variant>
        <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Seif1</vt:lpwstr>
      </vt:variant>
      <vt:variant>
        <vt:i4>7798811</vt:i4>
      </vt:variant>
      <vt:variant>
        <vt:i4>6</vt:i4>
      </vt:variant>
      <vt:variant>
        <vt:i4>0</vt:i4>
      </vt:variant>
      <vt:variant>
        <vt:i4>5</vt:i4>
      </vt:variant>
      <vt:variant>
        <vt:lpwstr>https://www.nevo.co.il/law_word/law06/tak-9203.pdf</vt:lpwstr>
      </vt:variant>
      <vt:variant>
        <vt:lpwstr/>
      </vt:variant>
      <vt:variant>
        <vt:i4>7340040</vt:i4>
      </vt:variant>
      <vt:variant>
        <vt:i4>3</vt:i4>
      </vt:variant>
      <vt:variant>
        <vt:i4>0</vt:i4>
      </vt:variant>
      <vt:variant>
        <vt:i4>5</vt:i4>
      </vt:variant>
      <vt:variant>
        <vt:lpwstr>http://www.nevo.co.il/Law_word/law06/TAK-8111.pdf</vt:lpwstr>
      </vt:variant>
      <vt:variant>
        <vt:lpwstr/>
      </vt:variant>
      <vt:variant>
        <vt:i4>7733253</vt:i4>
      </vt:variant>
      <vt:variant>
        <vt:i4>0</vt:i4>
      </vt:variant>
      <vt:variant>
        <vt:i4>0</vt:i4>
      </vt:variant>
      <vt:variant>
        <vt:i4>5</vt:i4>
      </vt:variant>
      <vt:variant>
        <vt:lpwstr>http://www.nevo.co.il/Law_word/law06/tak-7885.pdf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צו נתוני אשראי (אגרות), תשע"ח-2017</vt:lpwstr>
  </property>
  <property fmtid="{D5CDD505-2E9C-101B-9397-08002B2CF9AE}" pid="3" name="LAWNUMBER">
    <vt:lpwstr>0707</vt:lpwstr>
  </property>
  <property fmtid="{D5CDD505-2E9C-101B-9397-08002B2CF9AE}" pid="4" name="CHNUMBER">
    <vt:lpwstr>0501</vt:lpwstr>
  </property>
  <property fmtid="{D5CDD505-2E9C-101B-9397-08002B2CF9AE}" pid="5" name="TYPE">
    <vt:lpwstr>01</vt:lpwstr>
  </property>
  <property fmtid="{D5CDD505-2E9C-101B-9397-08002B2CF9AE}" pid="6" name="CHNAME">
    <vt:lpwstr>בנקאות</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כספים</vt:lpwstr>
  </property>
  <property fmtid="{D5CDD505-2E9C-101B-9397-08002B2CF9AE}" pid="20" name="NOSE31">
    <vt:lpwstr>בנקאות</vt:lpwstr>
  </property>
  <property fmtid="{D5CDD505-2E9C-101B-9397-08002B2CF9AE}" pid="21" name="NOSE41">
    <vt:lpwstr>שירות ללקוח</vt:lpwstr>
  </property>
  <property fmtid="{D5CDD505-2E9C-101B-9397-08002B2CF9AE}" pid="22" name="NOSE12">
    <vt:lpwstr>משפט פרטי וכלכלה</vt:lpwstr>
  </property>
  <property fmtid="{D5CDD505-2E9C-101B-9397-08002B2CF9AE}" pid="23" name="NOSE22">
    <vt:lpwstr>כספים</vt:lpwstr>
  </property>
  <property fmtid="{D5CDD505-2E9C-101B-9397-08002B2CF9AE}" pid="24" name="NOSE32">
    <vt:lpwstr>שירות נתוני אשראי</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2">
    <vt:lpwstr>http://www.nevo.co.il/Law_word/law06/TAK-8111.pdf;‎רשומות - תקנות כלליות#תוקן ק"ת תשע"ט מס' ‏‏8111 #מיום 25.11.2018 עמ' 1355 – צו תשע"ט-2018‏</vt:lpwstr>
  </property>
  <property fmtid="{D5CDD505-2E9C-101B-9397-08002B2CF9AE}" pid="59" name="LINKK3">
    <vt:lpwstr>https://www.nevo.co.il/law_word/law06/tak-9203.pdf;‎רשומות - תקנות כלליות#ק"ת תשפ"א מס' 9203 ‏‏#מיום 23.2.2021 עמ' 2190 – צו תשפ"א-2021; תחילתו ביום 1.1.2021‏</vt:lpwstr>
  </property>
  <property fmtid="{D5CDD505-2E9C-101B-9397-08002B2CF9AE}" pid="60" name="LINKK4">
    <vt:lpwstr/>
  </property>
  <property fmtid="{D5CDD505-2E9C-101B-9397-08002B2CF9AE}" pid="61" name="LINKK5">
    <vt:lpwstr/>
  </property>
  <property fmtid="{D5CDD505-2E9C-101B-9397-08002B2CF9AE}" pid="62" name="MEKOR_NAME1">
    <vt:lpwstr>חוק נתוני אשראי</vt:lpwstr>
  </property>
  <property fmtid="{D5CDD505-2E9C-101B-9397-08002B2CF9AE}" pid="63" name="MEKOR_SAIF1">
    <vt:lpwstr>38XדX;38XהX;116X</vt:lpwstr>
  </property>
  <property fmtid="{D5CDD505-2E9C-101B-9397-08002B2CF9AE}" pid="64" name="LINKK1">
    <vt:lpwstr>http://www.nevo.co.il/Law_word/law06/tak-7885.pdf;‎רשומות - תקנות כלליות#פורסם ק"ת תשע"ח מס' ‏‏7885 #מיום 22.11.2017 עמ' 215‏</vt:lpwstr>
  </property>
</Properties>
</file>