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B863" w14:textId="77777777" w:rsidR="000A51DD" w:rsidRDefault="00746E38" w:rsidP="00B74CD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F7528A">
        <w:rPr>
          <w:rFonts w:cs="FrankRuehl" w:hint="cs"/>
          <w:sz w:val="32"/>
          <w:rtl/>
        </w:rPr>
        <w:t xml:space="preserve"> </w:t>
      </w:r>
      <w:r w:rsidR="00B74CD6">
        <w:rPr>
          <w:rFonts w:cs="FrankRuehl" w:hint="cs"/>
          <w:sz w:val="32"/>
          <w:rtl/>
        </w:rPr>
        <w:t>לבאר יעקב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B74CD6">
        <w:rPr>
          <w:rFonts w:cs="FrankRuehl" w:hint="cs"/>
          <w:sz w:val="32"/>
          <w:rtl/>
        </w:rPr>
        <w:t>ו-2016</w:t>
      </w:r>
    </w:p>
    <w:p w14:paraId="220A6976" w14:textId="77777777"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14:paraId="047C8FE4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14:paraId="39A8BDE6" w14:textId="77777777"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14:paraId="1989F081" w14:textId="77777777"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14:paraId="5BDC576F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56949" w:rsidRPr="00456949" w14:paraId="618477B8" w14:textId="77777777" w:rsidTr="004569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F131D9C" w14:textId="77777777" w:rsidR="00456949" w:rsidRPr="00456949" w:rsidRDefault="00456949" w:rsidP="0045694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B63ACD0" w14:textId="77777777" w:rsidR="00456949" w:rsidRPr="00456949" w:rsidRDefault="00456949" w:rsidP="0045694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14:paraId="09E95173" w14:textId="77777777" w:rsidR="00456949" w:rsidRPr="00456949" w:rsidRDefault="00456949" w:rsidP="00456949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4569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E670DB" w14:textId="77777777" w:rsidR="00456949" w:rsidRPr="00456949" w:rsidRDefault="00456949" w:rsidP="0045694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456949" w:rsidRPr="00456949" w14:paraId="44564512" w14:textId="77777777" w:rsidTr="0045694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1F1B8D8" w14:textId="77777777" w:rsidR="00456949" w:rsidRPr="00456949" w:rsidRDefault="00456949" w:rsidP="0045694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14CF8A2" w14:textId="77777777" w:rsidR="00456949" w:rsidRPr="00456949" w:rsidRDefault="00456949" w:rsidP="0045694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14:paraId="20EB213E" w14:textId="77777777" w:rsidR="00456949" w:rsidRPr="00456949" w:rsidRDefault="00456949" w:rsidP="00456949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45694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766F873" w14:textId="77777777" w:rsidR="00456949" w:rsidRPr="00456949" w:rsidRDefault="00456949" w:rsidP="0045694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CA48F98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10257BB6" w14:textId="77777777" w:rsidR="000A51DD" w:rsidRPr="002A5E49" w:rsidRDefault="000A51DD" w:rsidP="00B74CD6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B74CD6">
        <w:rPr>
          <w:rFonts w:cs="FrankRuehl" w:hint="cs"/>
          <w:sz w:val="32"/>
          <w:rtl/>
        </w:rPr>
        <w:t>לבאר יעקב</w:t>
      </w:r>
      <w:r w:rsidR="00521652">
        <w:rPr>
          <w:rFonts w:cs="FrankRuehl" w:hint="cs"/>
          <w:sz w:val="32"/>
          <w:rtl/>
        </w:rPr>
        <w:t>), תשע"</w:t>
      </w:r>
      <w:r w:rsidR="00B74CD6">
        <w:rPr>
          <w:rFonts w:cs="FrankRuehl" w:hint="cs"/>
          <w:sz w:val="32"/>
          <w:rtl/>
        </w:rPr>
        <w:t>ו</w:t>
      </w:r>
      <w:r w:rsidR="00521652">
        <w:rPr>
          <w:rFonts w:cs="FrankRuehl" w:hint="cs"/>
          <w:sz w:val="32"/>
          <w:rtl/>
        </w:rPr>
        <w:t>-201</w:t>
      </w:r>
      <w:r w:rsidR="00B74CD6">
        <w:rPr>
          <w:rFonts w:cs="FrankRuehl" w:hint="cs"/>
          <w:sz w:val="32"/>
          <w:rtl/>
        </w:rPr>
        <w:t>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09079F28" w14:textId="77777777"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14:paraId="04717131" w14:textId="77777777" w:rsidR="000A51DD" w:rsidRDefault="000A51DD" w:rsidP="00B74C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68B33BEB"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14:paraId="6BEF5CF4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B74CD6">
        <w:rPr>
          <w:rStyle w:val="default"/>
          <w:rFonts w:cs="FrankRuehl" w:hint="cs"/>
          <w:rtl/>
        </w:rPr>
        <w:t>כ</w:t>
      </w:r>
      <w:r w:rsidR="008665D4">
        <w:rPr>
          <w:rStyle w:val="default"/>
          <w:rFonts w:cs="FrankRuehl" w:hint="cs"/>
          <w:rtl/>
        </w:rPr>
        <w:t>"ד</w:t>
      </w:r>
      <w:r w:rsidR="00074299">
        <w:rPr>
          <w:rStyle w:val="default"/>
          <w:rFonts w:cs="FrankRuehl" w:hint="cs"/>
          <w:rtl/>
        </w:rPr>
        <w:t xml:space="preserve"> לתוספת </w:t>
      </w:r>
      <w:r w:rsidR="00B74CD6">
        <w:rPr>
          <w:rStyle w:val="default"/>
          <w:rFonts w:cs="FrankRuehl" w:hint="cs"/>
          <w:rtl/>
        </w:rPr>
        <w:t>ה</w:t>
      </w:r>
      <w:r w:rsidR="00074299">
        <w:rPr>
          <w:rStyle w:val="default"/>
          <w:rFonts w:cs="FrankRuehl" w:hint="cs"/>
          <w:rtl/>
        </w:rPr>
        <w:t>ראשונה</w:t>
      </w:r>
      <w:r w:rsidR="00A82748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B74CD6">
        <w:rPr>
          <w:rStyle w:val="default"/>
          <w:rFonts w:cs="FrankRuehl" w:hint="cs"/>
          <w:rtl/>
        </w:rPr>
        <w:t>המועצות המקומיות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B74CD6">
        <w:rPr>
          <w:rStyle w:val="default"/>
          <w:rFonts w:cs="FrankRuehl" w:hint="cs"/>
          <w:rtl/>
        </w:rPr>
        <w:t>ג</w:t>
      </w:r>
      <w:r w:rsidR="001B3C7B">
        <w:rPr>
          <w:rStyle w:val="default"/>
          <w:rFonts w:cs="FrankRuehl" w:hint="cs"/>
          <w:rtl/>
        </w:rPr>
        <w:t>-197</w:t>
      </w:r>
      <w:r w:rsidR="00B74CD6">
        <w:rPr>
          <w:rStyle w:val="default"/>
          <w:rFonts w:cs="FrankRuehl" w:hint="cs"/>
          <w:rtl/>
        </w:rPr>
        <w:t>3</w:t>
      </w:r>
      <w:r w:rsidR="00746E38">
        <w:rPr>
          <w:rStyle w:val="default"/>
          <w:rFonts w:cs="FrankRuehl" w:hint="cs"/>
          <w:rtl/>
        </w:rPr>
        <w:t xml:space="preserve">, נקבעת בזה </w:t>
      </w:r>
      <w:r w:rsidR="00B74CD6">
        <w:rPr>
          <w:rStyle w:val="default"/>
          <w:rFonts w:cs="FrankRuehl" w:hint="cs"/>
          <w:rtl/>
        </w:rPr>
        <w:t>כ</w:t>
      </w:r>
      <w:r w:rsidR="00746E38">
        <w:rPr>
          <w:rStyle w:val="default"/>
          <w:rFonts w:cs="FrankRuehl" w:hint="cs"/>
          <w:rtl/>
        </w:rPr>
        <w:t>עבירה של ברירת משפט.</w:t>
      </w:r>
    </w:p>
    <w:p w14:paraId="0F1005FF" w14:textId="77777777" w:rsidR="000A51DD" w:rsidRDefault="000A51DD" w:rsidP="00A8274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F0E92A5"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14:paraId="73C444AF" w14:textId="77777777"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תחילתו של צו זה </w:t>
      </w:r>
      <w:r w:rsidR="00A82748">
        <w:rPr>
          <w:rStyle w:val="default"/>
          <w:rFonts w:cs="FrankRuehl" w:hint="cs"/>
          <w:rtl/>
        </w:rPr>
        <w:t>30 ימים מיום פרסומו</w:t>
      </w:r>
      <w:r w:rsidR="00746E38">
        <w:rPr>
          <w:rStyle w:val="default"/>
          <w:rFonts w:cs="FrankRuehl" w:hint="cs"/>
          <w:rtl/>
        </w:rPr>
        <w:t>.</w:t>
      </w:r>
    </w:p>
    <w:p w14:paraId="74C2CD04" w14:textId="77777777"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0401A4C" w14:textId="77777777"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3DBB96" w14:textId="77777777" w:rsidR="000A51DD" w:rsidRDefault="00B74CD6" w:rsidP="008665D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באייר התשע"ו (22 במאי 2016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8665D4">
        <w:rPr>
          <w:rStyle w:val="default"/>
          <w:rFonts w:cs="FrankRuehl" w:hint="cs"/>
          <w:rtl/>
        </w:rPr>
        <w:t>איילת שקד</w:t>
      </w:r>
    </w:p>
    <w:p w14:paraId="69524B92" w14:textId="77777777" w:rsidR="00F83AB4" w:rsidRDefault="00F83AB4" w:rsidP="00074299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</w:t>
      </w:r>
      <w:r w:rsidR="00AF741E">
        <w:rPr>
          <w:rFonts w:cs="FrankRuehl" w:hint="cs"/>
          <w:sz w:val="22"/>
          <w:szCs w:val="22"/>
          <w:rtl/>
        </w:rPr>
        <w:t>ת</w:t>
      </w:r>
      <w:r w:rsidR="00AD749B">
        <w:rPr>
          <w:rFonts w:cs="FrankRuehl" w:hint="cs"/>
          <w:sz w:val="22"/>
          <w:szCs w:val="22"/>
          <w:rtl/>
        </w:rPr>
        <w:t xml:space="preserve"> המשפטים</w:t>
      </w:r>
    </w:p>
    <w:p w14:paraId="152A1754" w14:textId="77777777" w:rsidR="00795AE3" w:rsidRDefault="00795AE3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ACDAB97" w14:textId="77777777" w:rsidR="00356C79" w:rsidRDefault="00356C7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0F3C6A91" w14:textId="77777777" w:rsidR="00456949" w:rsidRDefault="0045694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1BD104AF" w14:textId="77777777" w:rsidR="00456949" w:rsidRDefault="00456949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14:paraId="3CAD7668" w14:textId="77777777" w:rsidR="00456949" w:rsidRDefault="00456949" w:rsidP="0045694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5A43C89" w14:textId="77777777" w:rsidR="00356C79" w:rsidRPr="00456949" w:rsidRDefault="00356C79" w:rsidP="00456949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356C79" w:rsidRPr="0045694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99FB" w14:textId="77777777" w:rsidR="009A1E5E" w:rsidRDefault="009A1E5E">
      <w:r>
        <w:separator/>
      </w:r>
    </w:p>
  </w:endnote>
  <w:endnote w:type="continuationSeparator" w:id="0">
    <w:p w14:paraId="61C19262" w14:textId="77777777" w:rsidR="009A1E5E" w:rsidRDefault="009A1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197E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2FCA260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EE1E95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EC13" w14:textId="77777777"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5694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3B48A77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30D0D9" w14:textId="77777777"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56C79">
      <w:rPr>
        <w:rFonts w:cs="TopType Jerushalmi"/>
        <w:noProof/>
        <w:color w:val="000000"/>
        <w:sz w:val="14"/>
        <w:szCs w:val="14"/>
      </w:rPr>
      <w:t>Z:\000-law\yael\2015\2015-08-09\tav\501_245.doc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C897A" w14:textId="77777777" w:rsidR="009A1E5E" w:rsidRDefault="009A1E5E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4576FE89" w14:textId="77777777" w:rsidR="009A1E5E" w:rsidRDefault="009A1E5E">
      <w:r>
        <w:continuationSeparator/>
      </w:r>
    </w:p>
  </w:footnote>
  <w:footnote w:id="1">
    <w:p w14:paraId="1A687EBB" w14:textId="77777777" w:rsidR="00D6519E" w:rsidRDefault="00966C67" w:rsidP="00D651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D6519E">
          <w:rPr>
            <w:rStyle w:val="Hyperlink"/>
            <w:rFonts w:cs="FrankRuehl" w:hint="cs"/>
            <w:rtl/>
          </w:rPr>
          <w:t xml:space="preserve">ק"ת </w:t>
        </w:r>
        <w:r w:rsidR="00F770F1" w:rsidRPr="00D6519E">
          <w:rPr>
            <w:rStyle w:val="Hyperlink"/>
            <w:rFonts w:cs="FrankRuehl" w:hint="cs"/>
            <w:rtl/>
          </w:rPr>
          <w:t>תשע</w:t>
        </w:r>
        <w:r w:rsidR="00521652" w:rsidRPr="00D6519E">
          <w:rPr>
            <w:rStyle w:val="Hyperlink"/>
            <w:rFonts w:cs="FrankRuehl" w:hint="cs"/>
            <w:rtl/>
          </w:rPr>
          <w:t>"</w:t>
        </w:r>
        <w:r w:rsidR="00B74CD6" w:rsidRPr="00D6519E">
          <w:rPr>
            <w:rStyle w:val="Hyperlink"/>
            <w:rFonts w:cs="FrankRuehl" w:hint="cs"/>
            <w:rtl/>
          </w:rPr>
          <w:t>ו</w:t>
        </w:r>
        <w:r w:rsidRPr="00D6519E">
          <w:rPr>
            <w:rStyle w:val="Hyperlink"/>
            <w:rFonts w:cs="FrankRuehl" w:hint="cs"/>
            <w:rtl/>
          </w:rPr>
          <w:t xml:space="preserve"> מס' </w:t>
        </w:r>
        <w:r w:rsidR="00B74CD6" w:rsidRPr="00D6519E">
          <w:rPr>
            <w:rStyle w:val="Hyperlink"/>
            <w:rFonts w:cs="FrankRuehl" w:hint="cs"/>
            <w:rtl/>
          </w:rPr>
          <w:t>7670</w:t>
        </w:r>
      </w:hyperlink>
      <w:r>
        <w:rPr>
          <w:rFonts w:cs="FrankRuehl" w:hint="cs"/>
          <w:rtl/>
        </w:rPr>
        <w:t xml:space="preserve"> מיום </w:t>
      </w:r>
      <w:r w:rsidR="00B74CD6">
        <w:rPr>
          <w:rFonts w:cs="FrankRuehl" w:hint="cs"/>
          <w:rtl/>
        </w:rPr>
        <w:t>14.6.2016</w:t>
      </w:r>
      <w:r>
        <w:rPr>
          <w:rFonts w:cs="FrankRuehl" w:hint="cs"/>
          <w:rtl/>
        </w:rPr>
        <w:t xml:space="preserve"> עמ' </w:t>
      </w:r>
      <w:r w:rsidR="00B74CD6">
        <w:rPr>
          <w:rFonts w:cs="FrankRuehl" w:hint="cs"/>
          <w:rtl/>
        </w:rPr>
        <w:t>1332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0C544" w14:textId="77777777"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5B4C9985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4AA58A9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7D7" w14:textId="77777777" w:rsidR="00966C67" w:rsidRDefault="00746E38" w:rsidP="00B74CD6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B74CD6">
      <w:rPr>
        <w:rFonts w:hAnsi="FrankRuehl" w:cs="FrankRuehl" w:hint="cs"/>
        <w:color w:val="000000"/>
        <w:sz w:val="28"/>
        <w:szCs w:val="28"/>
        <w:rtl/>
      </w:rPr>
      <w:t>לבאר יעקב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B74CD6">
      <w:rPr>
        <w:rFonts w:hAnsi="FrankRuehl" w:cs="FrankRuehl" w:hint="cs"/>
        <w:color w:val="000000"/>
        <w:sz w:val="28"/>
        <w:szCs w:val="28"/>
        <w:rtl/>
      </w:rPr>
      <w:t>ו-2016</w:t>
    </w:r>
  </w:p>
  <w:p w14:paraId="085D813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632FA38" w14:textId="77777777"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15895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299"/>
    <w:rsid w:val="00074689"/>
    <w:rsid w:val="00087314"/>
    <w:rsid w:val="000876E0"/>
    <w:rsid w:val="000A51DD"/>
    <w:rsid w:val="000A647D"/>
    <w:rsid w:val="000C4B22"/>
    <w:rsid w:val="000D77F1"/>
    <w:rsid w:val="000E0280"/>
    <w:rsid w:val="000E2C54"/>
    <w:rsid w:val="000F084F"/>
    <w:rsid w:val="00100187"/>
    <w:rsid w:val="00121DF4"/>
    <w:rsid w:val="0013293D"/>
    <w:rsid w:val="00157B5B"/>
    <w:rsid w:val="00161FC9"/>
    <w:rsid w:val="00162634"/>
    <w:rsid w:val="0016798D"/>
    <w:rsid w:val="00181640"/>
    <w:rsid w:val="001835D5"/>
    <w:rsid w:val="001A6711"/>
    <w:rsid w:val="001B2858"/>
    <w:rsid w:val="001B3C7B"/>
    <w:rsid w:val="001E4DA4"/>
    <w:rsid w:val="0021145C"/>
    <w:rsid w:val="00213867"/>
    <w:rsid w:val="00223EEF"/>
    <w:rsid w:val="00250A33"/>
    <w:rsid w:val="0026207D"/>
    <w:rsid w:val="00283481"/>
    <w:rsid w:val="002A5E49"/>
    <w:rsid w:val="002C1DB5"/>
    <w:rsid w:val="002D0128"/>
    <w:rsid w:val="002D37BE"/>
    <w:rsid w:val="00300F33"/>
    <w:rsid w:val="00310D71"/>
    <w:rsid w:val="00315F17"/>
    <w:rsid w:val="00316C2F"/>
    <w:rsid w:val="00322C34"/>
    <w:rsid w:val="00356C79"/>
    <w:rsid w:val="00360502"/>
    <w:rsid w:val="003B4526"/>
    <w:rsid w:val="003F0F5D"/>
    <w:rsid w:val="003F60AB"/>
    <w:rsid w:val="00412461"/>
    <w:rsid w:val="00435950"/>
    <w:rsid w:val="0044663C"/>
    <w:rsid w:val="00456949"/>
    <w:rsid w:val="004878D1"/>
    <w:rsid w:val="00493F5F"/>
    <w:rsid w:val="004A273A"/>
    <w:rsid w:val="004A2F0A"/>
    <w:rsid w:val="004C684E"/>
    <w:rsid w:val="004F5B02"/>
    <w:rsid w:val="005024AD"/>
    <w:rsid w:val="00503D06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5F1102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34507"/>
    <w:rsid w:val="007442B7"/>
    <w:rsid w:val="00746B53"/>
    <w:rsid w:val="00746E38"/>
    <w:rsid w:val="00761A41"/>
    <w:rsid w:val="00763EA8"/>
    <w:rsid w:val="00795AE3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27C75"/>
    <w:rsid w:val="00841653"/>
    <w:rsid w:val="008418EC"/>
    <w:rsid w:val="00864F93"/>
    <w:rsid w:val="008665D4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5C5E"/>
    <w:rsid w:val="00966C67"/>
    <w:rsid w:val="009777B7"/>
    <w:rsid w:val="009A1E5E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2748"/>
    <w:rsid w:val="00A85432"/>
    <w:rsid w:val="00AA0A6A"/>
    <w:rsid w:val="00AD749B"/>
    <w:rsid w:val="00AE64BC"/>
    <w:rsid w:val="00AF741E"/>
    <w:rsid w:val="00B13813"/>
    <w:rsid w:val="00B31ED8"/>
    <w:rsid w:val="00B36D07"/>
    <w:rsid w:val="00B46984"/>
    <w:rsid w:val="00B74CD6"/>
    <w:rsid w:val="00BC756E"/>
    <w:rsid w:val="00BE078C"/>
    <w:rsid w:val="00C218B5"/>
    <w:rsid w:val="00C25542"/>
    <w:rsid w:val="00C278DF"/>
    <w:rsid w:val="00C32DC5"/>
    <w:rsid w:val="00C409B0"/>
    <w:rsid w:val="00C41976"/>
    <w:rsid w:val="00C661D9"/>
    <w:rsid w:val="00C96BF5"/>
    <w:rsid w:val="00CA123E"/>
    <w:rsid w:val="00CF7974"/>
    <w:rsid w:val="00D03715"/>
    <w:rsid w:val="00D27B9B"/>
    <w:rsid w:val="00D42A29"/>
    <w:rsid w:val="00D51A23"/>
    <w:rsid w:val="00D6519E"/>
    <w:rsid w:val="00D672E6"/>
    <w:rsid w:val="00D90EFB"/>
    <w:rsid w:val="00DA2198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11C8F"/>
    <w:rsid w:val="00F33C41"/>
    <w:rsid w:val="00F415CA"/>
    <w:rsid w:val="00F7528A"/>
    <w:rsid w:val="00F770F1"/>
    <w:rsid w:val="00F83AB4"/>
    <w:rsid w:val="00F9584E"/>
    <w:rsid w:val="00FA320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2BC5019"/>
  <w15:chartTrackingRefBased/>
  <w15:docId w15:val="{4F3B71FF-2F6E-4B75-A65C-B2DE8220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67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1005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http://www.nevo.co.il/Law_word/law06/tak-7670.pdf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סדר הדין הפלילי (ברירת משפט - חוקי עזר לבאר יעקב), תשע"ו-2016</vt:lpwstr>
  </property>
  <property fmtid="{D5CDD505-2E9C-101B-9397-08002B2CF9AE}" pid="4" name="LAWNUMBER">
    <vt:lpwstr>0415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http://www.nevo.co.il/Law_word/law06/tak-7670.pdf;‎רשומות - תקנות כלליות#פורסם ק"ת תשע"ו ‏מס' 7670 #מיום 14.6.2016 עמ' 1332‏</vt:lpwstr>
  </property>
</Properties>
</file>