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ED1CC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ED1CC9">
        <w:rPr>
          <w:rFonts w:cs="FrankRuehl" w:hint="cs"/>
          <w:sz w:val="32"/>
          <w:rtl/>
        </w:rPr>
        <w:t>למזכרת בתיה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"א</w:t>
      </w:r>
      <w:r w:rsidR="00ED1CC9">
        <w:rPr>
          <w:rFonts w:cs="FrankRuehl" w:hint="cs"/>
          <w:sz w:val="32"/>
          <w:rtl/>
        </w:rPr>
        <w:t>-2011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2634" w:rsidRPr="001626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162634" w:rsidRPr="00162634" w:rsidRDefault="00162634" w:rsidP="0016263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1626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62634" w:rsidRPr="001626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162634" w:rsidRPr="00162634" w:rsidRDefault="00162634" w:rsidP="0016263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1626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2634" w:rsidRPr="00162634" w:rsidRDefault="00162634" w:rsidP="001626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ED1CC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ED1CC9">
        <w:rPr>
          <w:rFonts w:cs="FrankRuehl" w:hint="cs"/>
          <w:sz w:val="32"/>
          <w:rtl/>
        </w:rPr>
        <w:t>למזכרת בתיה</w:t>
      </w:r>
      <w:r w:rsidR="00521652">
        <w:rPr>
          <w:rFonts w:cs="FrankRuehl" w:hint="cs"/>
          <w:sz w:val="32"/>
          <w:rtl/>
        </w:rPr>
        <w:t>), תשע"א-201</w:t>
      </w:r>
      <w:r w:rsidR="00ED1CC9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ED1C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ED1CC9">
        <w:rPr>
          <w:rStyle w:val="default"/>
          <w:rFonts w:cs="FrankRuehl" w:hint="cs"/>
          <w:rtl/>
        </w:rPr>
        <w:t>ע"ג</w:t>
      </w:r>
      <w:r w:rsidR="001B3C7B">
        <w:rPr>
          <w:rStyle w:val="default"/>
          <w:rFonts w:cs="FrankRuehl" w:hint="cs"/>
          <w:rtl/>
        </w:rPr>
        <w:t xml:space="preserve"> </w:t>
      </w:r>
      <w:r w:rsidR="00ED1CC9">
        <w:rPr>
          <w:rStyle w:val="default"/>
          <w:rFonts w:cs="FrankRuehl" w:hint="cs"/>
          <w:rtl/>
        </w:rPr>
        <w:t xml:space="preserve">לתוספת הראשונה </w:t>
      </w:r>
      <w:r w:rsidR="00746E38">
        <w:rPr>
          <w:rStyle w:val="default"/>
          <w:rFonts w:cs="FrankRuehl" w:hint="cs"/>
          <w:rtl/>
        </w:rPr>
        <w:t xml:space="preserve">לצו </w:t>
      </w:r>
      <w:r w:rsidR="00ED1CC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ED1CC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ED1CC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ED1CC9" w:rsidP="00ED1CC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ט' באדר א'</w:t>
      </w:r>
      <w:r w:rsidR="00521652">
        <w:rPr>
          <w:rStyle w:val="default"/>
          <w:rFonts w:cs="FrankRuehl" w:hint="cs"/>
          <w:rtl/>
        </w:rPr>
        <w:t xml:space="preserve"> התשע"א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בפברואר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ED1CC9" w:rsidRDefault="00ED1CC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162634" w:rsidRDefault="00162634" w:rsidP="001626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60502" w:rsidRPr="00162634" w:rsidRDefault="00360502" w:rsidP="001626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60502" w:rsidRPr="001626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F5F" w:rsidRDefault="00493F5F">
      <w:r>
        <w:separator/>
      </w:r>
    </w:p>
  </w:endnote>
  <w:endnote w:type="continuationSeparator" w:id="0">
    <w:p w:rsidR="00493F5F" w:rsidRDefault="0049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96BF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F5F" w:rsidRDefault="00493F5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493F5F" w:rsidRDefault="00493F5F">
      <w:r>
        <w:continuationSeparator/>
      </w:r>
    </w:p>
  </w:footnote>
  <w:footnote w:id="1">
    <w:p w:rsidR="00223EEF" w:rsidRDefault="00966C67" w:rsidP="00223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23EEF">
          <w:rPr>
            <w:rStyle w:val="Hyperlink"/>
            <w:rFonts w:cs="FrankRuehl" w:hint="cs"/>
            <w:rtl/>
          </w:rPr>
          <w:t xml:space="preserve">ק"ת </w:t>
        </w:r>
        <w:r w:rsidR="00F770F1" w:rsidRPr="00223EEF">
          <w:rPr>
            <w:rStyle w:val="Hyperlink"/>
            <w:rFonts w:cs="FrankRuehl" w:hint="cs"/>
            <w:rtl/>
          </w:rPr>
          <w:t>תשע</w:t>
        </w:r>
        <w:r w:rsidR="00521652" w:rsidRPr="00223EEF">
          <w:rPr>
            <w:rStyle w:val="Hyperlink"/>
            <w:rFonts w:cs="FrankRuehl" w:hint="cs"/>
            <w:rtl/>
          </w:rPr>
          <w:t>"א</w:t>
        </w:r>
        <w:r w:rsidRPr="00223EEF">
          <w:rPr>
            <w:rStyle w:val="Hyperlink"/>
            <w:rFonts w:cs="FrankRuehl" w:hint="cs"/>
            <w:rtl/>
          </w:rPr>
          <w:t xml:space="preserve"> מס' </w:t>
        </w:r>
        <w:r w:rsidR="00F770F1" w:rsidRPr="00223EEF">
          <w:rPr>
            <w:rStyle w:val="Hyperlink"/>
            <w:rFonts w:cs="FrankRuehl" w:hint="cs"/>
            <w:rtl/>
          </w:rPr>
          <w:t>69</w:t>
        </w:r>
        <w:r w:rsidR="00ED1CC9" w:rsidRPr="00223EEF">
          <w:rPr>
            <w:rStyle w:val="Hyperlink"/>
            <w:rFonts w:cs="FrankRuehl" w:hint="cs"/>
            <w:rtl/>
          </w:rPr>
          <w:t>79</w:t>
        </w:r>
      </w:hyperlink>
      <w:r>
        <w:rPr>
          <w:rFonts w:cs="FrankRuehl" w:hint="cs"/>
          <w:rtl/>
        </w:rPr>
        <w:t xml:space="preserve"> מיום </w:t>
      </w:r>
      <w:r w:rsidR="00ED1CC9">
        <w:rPr>
          <w:rFonts w:cs="FrankRuehl" w:hint="cs"/>
          <w:rtl/>
        </w:rPr>
        <w:t>24.2.2011</w:t>
      </w:r>
      <w:r>
        <w:rPr>
          <w:rFonts w:cs="FrankRuehl" w:hint="cs"/>
          <w:rtl/>
        </w:rPr>
        <w:t xml:space="preserve"> עמ' </w:t>
      </w:r>
      <w:r w:rsidR="00ED1CC9">
        <w:rPr>
          <w:rFonts w:cs="FrankRuehl" w:hint="cs"/>
          <w:rtl/>
        </w:rPr>
        <w:t>708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ED1CC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ED1CC9">
      <w:rPr>
        <w:rFonts w:hAnsi="FrankRuehl" w:cs="FrankRuehl" w:hint="cs"/>
        <w:color w:val="000000"/>
        <w:sz w:val="28"/>
        <w:szCs w:val="28"/>
        <w:rtl/>
      </w:rPr>
      <w:t>למזכרת בתיה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"א</w:t>
    </w:r>
    <w:r w:rsidR="00ED1CC9">
      <w:rPr>
        <w:rFonts w:hAnsi="FrankRuehl" w:cs="FrankRuehl" w:hint="cs"/>
        <w:color w:val="000000"/>
        <w:sz w:val="28"/>
        <w:szCs w:val="28"/>
        <w:rtl/>
      </w:rPr>
      <w:t>-2011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533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080D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9B0AB42-B2AE-423C-9069-A699D220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7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1010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http://www.nevo.co.il/Law_word/law06/TAK-6979.pdf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למזכרת בתיה), תשע"א-2011</vt:lpwstr>
  </property>
  <property fmtid="{D5CDD505-2E9C-101B-9397-08002B2CF9AE}" pid="4" name="LAWNUMBER">
    <vt:lpwstr>0450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1">
    <vt:lpwstr>http://www.nevo.co.il/Law_word/law06/TAK-6979.pdf;‎רשומות - תקנות כלליות#פורסם ק"ת ‏תשע"א מס' 6979 #מיום 24.2.2011 עמ' 708‏</vt:lpwstr>
  </property>
  <property fmtid="{D5CDD505-2E9C-101B-9397-08002B2CF9AE}" pid="64" name="LINKK2">
    <vt:lpwstr/>
  </property>
</Properties>
</file>