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D8EC" w14:textId="77777777" w:rsidR="00720755" w:rsidRDefault="0072075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שמן משומש), תשס"ז-2006</w:t>
      </w:r>
    </w:p>
    <w:p w14:paraId="7A299951" w14:textId="77777777" w:rsidR="00B0405E" w:rsidRPr="00B0405E" w:rsidRDefault="00B0405E" w:rsidP="00B0405E">
      <w:pPr>
        <w:spacing w:line="320" w:lineRule="auto"/>
        <w:rPr>
          <w:rFonts w:cs="FrankRuehl"/>
          <w:szCs w:val="26"/>
          <w:rtl/>
        </w:rPr>
      </w:pPr>
    </w:p>
    <w:p w14:paraId="28EBB27C" w14:textId="77777777" w:rsidR="00B0405E" w:rsidRDefault="00B0405E" w:rsidP="00B0405E">
      <w:pPr>
        <w:spacing w:line="320" w:lineRule="auto"/>
        <w:rPr>
          <w:rFonts w:cs="Miriam"/>
          <w:szCs w:val="22"/>
          <w:rtl/>
        </w:rPr>
      </w:pPr>
      <w:r w:rsidRPr="00B0405E">
        <w:rPr>
          <w:rFonts w:cs="Miriam"/>
          <w:szCs w:val="22"/>
          <w:rtl/>
        </w:rPr>
        <w:t>בתי משפט וסדרי דין</w:t>
      </w:r>
      <w:r w:rsidRPr="00B0405E">
        <w:rPr>
          <w:rFonts w:cs="FrankRuehl"/>
          <w:szCs w:val="26"/>
          <w:rtl/>
        </w:rPr>
        <w:t xml:space="preserve"> – סדר דין פלילי – ברירת משפט</w:t>
      </w:r>
    </w:p>
    <w:p w14:paraId="752B14D6" w14:textId="77777777" w:rsidR="00B0405E" w:rsidRDefault="00B0405E" w:rsidP="00B0405E">
      <w:pPr>
        <w:spacing w:line="320" w:lineRule="auto"/>
        <w:rPr>
          <w:rFonts w:cs="Miriam"/>
          <w:szCs w:val="22"/>
          <w:rtl/>
        </w:rPr>
      </w:pPr>
      <w:r w:rsidRPr="00B0405E">
        <w:rPr>
          <w:rFonts w:cs="Miriam"/>
          <w:szCs w:val="22"/>
          <w:rtl/>
        </w:rPr>
        <w:t>עונשין ומשפט פלילי</w:t>
      </w:r>
      <w:r w:rsidRPr="00B0405E">
        <w:rPr>
          <w:rFonts w:cs="FrankRuehl"/>
          <w:szCs w:val="26"/>
          <w:rtl/>
        </w:rPr>
        <w:t xml:space="preserve"> – עבירות – עבירות ברירת משפט</w:t>
      </w:r>
    </w:p>
    <w:p w14:paraId="10CB5520" w14:textId="77777777" w:rsidR="00B0405E" w:rsidRPr="00B0405E" w:rsidRDefault="00B0405E" w:rsidP="00B0405E">
      <w:pPr>
        <w:spacing w:line="320" w:lineRule="auto"/>
        <w:rPr>
          <w:rFonts w:cs="Miriam" w:hint="cs"/>
          <w:szCs w:val="22"/>
          <w:rtl/>
        </w:rPr>
      </w:pPr>
      <w:r w:rsidRPr="00B0405E">
        <w:rPr>
          <w:rFonts w:cs="Miriam"/>
          <w:szCs w:val="22"/>
          <w:rtl/>
        </w:rPr>
        <w:t>חקלאות טבע וסביבה</w:t>
      </w:r>
      <w:r w:rsidRPr="00B0405E">
        <w:rPr>
          <w:rFonts w:cs="FrankRuehl"/>
          <w:szCs w:val="26"/>
          <w:rtl/>
        </w:rPr>
        <w:t xml:space="preserve"> – איכות הסביבה – פסולת ומיחזור</w:t>
      </w:r>
    </w:p>
    <w:p w14:paraId="638D5802" w14:textId="77777777" w:rsidR="00720755" w:rsidRDefault="0072075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20755" w14:paraId="3A58CB2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0762516" w14:textId="77777777" w:rsidR="00720755" w:rsidRDefault="0072075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F798719" w14:textId="77777777" w:rsidR="00720755" w:rsidRDefault="00720755">
            <w:hyperlink w:anchor="Seif0" w:tooltip="קביעת עבירות של ברירת 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4409636" w14:textId="77777777" w:rsidR="00720755" w:rsidRDefault="00720755">
            <w:pPr>
              <w:rPr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1247" w:type="dxa"/>
          </w:tcPr>
          <w:p w14:paraId="7CCF5E12" w14:textId="77777777" w:rsidR="00720755" w:rsidRDefault="00720755">
            <w:r>
              <w:rPr>
                <w:rtl/>
              </w:rPr>
              <w:t xml:space="preserve">סעיף 1 </w:t>
            </w:r>
          </w:p>
        </w:tc>
      </w:tr>
      <w:tr w:rsidR="00720755" w14:paraId="696D5981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7B777A40" w14:textId="77777777" w:rsidR="00720755" w:rsidRDefault="0072075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199E196" w14:textId="77777777" w:rsidR="00720755" w:rsidRDefault="00720755"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770068A" w14:textId="77777777" w:rsidR="00720755" w:rsidRDefault="00720755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1FB7CE2D" w14:textId="77777777" w:rsidR="00720755" w:rsidRDefault="00720755">
            <w:r>
              <w:rPr>
                <w:rtl/>
              </w:rPr>
              <w:t xml:space="preserve">סעיף 2 </w:t>
            </w:r>
          </w:p>
        </w:tc>
      </w:tr>
    </w:tbl>
    <w:p w14:paraId="230F9CCE" w14:textId="77777777" w:rsidR="00720755" w:rsidRDefault="00720755" w:rsidP="00B0405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שמן משומש), תשס"ז-2006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8FF56BD" w14:textId="77777777" w:rsidR="00720755" w:rsidRDefault="007207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סעיף 228(א) לחוק סדר הדין הפלילי [נוסח משולב], התשמ"ב</w:t>
      </w:r>
      <w:r>
        <w:rPr>
          <w:rStyle w:val="default"/>
          <w:rFonts w:cs="FrankRuehl" w:hint="cs"/>
          <w:rtl/>
        </w:rPr>
        <w:t>-1982</w:t>
      </w:r>
      <w:r>
        <w:rPr>
          <w:rStyle w:val="default"/>
          <w:rFonts w:cs="FrankRuehl"/>
          <w:rtl/>
        </w:rPr>
        <w:t>, באישור ועדת החוקה חוק ומשפט של הכנסת, אני מצווה לאמור:</w:t>
      </w:r>
    </w:p>
    <w:p w14:paraId="66AF6A92" w14:textId="77777777" w:rsidR="00720755" w:rsidRDefault="007207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0686A1F7">
          <v:rect id="_x0000_s108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2ADB5B14" w14:textId="77777777" w:rsidR="00720755" w:rsidRDefault="007207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עבירה שנקבעה עבירת קנס בצו סדר הדין הפלילי (עבירות קנס – שמן משומש), התשס"ז</w:t>
      </w:r>
      <w:r>
        <w:rPr>
          <w:rStyle w:val="default"/>
          <w:rFonts w:cs="FrankRuehl" w:hint="cs"/>
          <w:rtl/>
        </w:rPr>
        <w:t>-2006</w:t>
      </w:r>
      <w:r>
        <w:rPr>
          <w:rStyle w:val="default"/>
          <w:rFonts w:cs="FrankRuehl"/>
          <w:rtl/>
        </w:rPr>
        <w:t xml:space="preserve"> (להלן – צו שמן משומש), נקבעת בזה עבירה של ברירת משפט.</w:t>
      </w:r>
    </w:p>
    <w:p w14:paraId="7298620A" w14:textId="77777777" w:rsidR="00720755" w:rsidRDefault="0072075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760037B0">
          <v:rect id="_x0000_s1089" style="position:absolute;left:0;text-align:left;margin-left:464.5pt;margin-top:8.05pt;width:75.05pt;height:10pt;z-index:251658240" o:allowincell="f" filled="f" stroked="f" strokecolor="lime" strokeweight=".25pt">
            <v:textbox inset="0,0,0,0">
              <w:txbxContent>
                <w:p w14:paraId="4ADF0EB3" w14:textId="77777777" w:rsidR="00720755" w:rsidRDefault="0072075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תחילתו של צו זה ביום תחילתו של צו שמן משומש.</w:t>
      </w:r>
    </w:p>
    <w:p w14:paraId="5AF61543" w14:textId="77777777" w:rsidR="00720755" w:rsidRDefault="00720755">
      <w:pPr>
        <w:pStyle w:val="page"/>
        <w:widowControl/>
        <w:spacing w:before="72"/>
        <w:ind w:right="1134"/>
        <w:rPr>
          <w:rStyle w:val="default"/>
          <w:rFonts w:cs="FrankRuehl" w:hint="cs"/>
          <w:position w:val="0"/>
          <w:rtl/>
        </w:rPr>
      </w:pPr>
    </w:p>
    <w:p w14:paraId="2D9AA074" w14:textId="77777777" w:rsidR="00720755" w:rsidRDefault="00720755">
      <w:pPr>
        <w:pStyle w:val="page"/>
        <w:widowControl/>
        <w:spacing w:before="72"/>
        <w:ind w:right="1134"/>
        <w:rPr>
          <w:rStyle w:val="default"/>
          <w:rFonts w:cs="FrankRuehl"/>
          <w:position w:val="0"/>
          <w:rtl/>
        </w:rPr>
      </w:pPr>
    </w:p>
    <w:p w14:paraId="200A584F" w14:textId="77777777" w:rsidR="00720755" w:rsidRDefault="0072075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בחשון התשס"ז (30 באוקטובר 2006)</w:t>
      </w:r>
    </w:p>
    <w:p w14:paraId="47EAA431" w14:textId="77777777" w:rsidR="00720755" w:rsidRDefault="00720755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מאיר שטרית</w:t>
      </w:r>
    </w:p>
    <w:p w14:paraId="0FA9CF4F" w14:textId="77777777" w:rsidR="00720755" w:rsidRDefault="0072075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 w:hint="cs"/>
          <w:sz w:val="22"/>
          <w:rtl/>
        </w:rPr>
        <w:t>ממלא מקום שר המשפטים</w:t>
      </w:r>
    </w:p>
    <w:p w14:paraId="0082C592" w14:textId="77777777" w:rsidR="00720755" w:rsidRDefault="00720755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</w:p>
    <w:p w14:paraId="33E22A89" w14:textId="77777777" w:rsidR="00720755" w:rsidRDefault="00720755">
      <w:pPr>
        <w:pStyle w:val="sig-1"/>
        <w:widowControl/>
        <w:tabs>
          <w:tab w:val="clear" w:pos="851"/>
          <w:tab w:val="clear" w:pos="2835"/>
          <w:tab w:val="clear" w:pos="4820"/>
          <w:tab w:val="center" w:pos="1701"/>
          <w:tab w:val="center" w:pos="3402"/>
        </w:tabs>
        <w:ind w:left="0" w:right="1134"/>
        <w:rPr>
          <w:rFonts w:cs="FrankRuehl"/>
          <w:sz w:val="26"/>
          <w:szCs w:val="26"/>
          <w:rtl/>
        </w:rPr>
      </w:pPr>
    </w:p>
    <w:sectPr w:rsidR="0072075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811AD" w14:textId="77777777" w:rsidR="00EE796F" w:rsidRDefault="00EE796F">
      <w:r>
        <w:separator/>
      </w:r>
    </w:p>
  </w:endnote>
  <w:endnote w:type="continuationSeparator" w:id="0">
    <w:p w14:paraId="38C6A519" w14:textId="77777777" w:rsidR="00EE796F" w:rsidRDefault="00EE7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0AE05" w14:textId="77777777" w:rsidR="00720755" w:rsidRDefault="0072075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AC0B55B" w14:textId="77777777" w:rsidR="00720755" w:rsidRDefault="007207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DFA3F19" w14:textId="77777777" w:rsidR="00720755" w:rsidRDefault="007207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Z:\00000000-law\yael\06-11-08\999_682.doc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292B6" w14:textId="77777777" w:rsidR="00720755" w:rsidRDefault="00720755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06BF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C32457" w14:textId="77777777" w:rsidR="00720755" w:rsidRDefault="00720755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255D761" w14:textId="77777777" w:rsidR="00720755" w:rsidRDefault="00720755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Z:\00000000-law\yael\06-11-08\999_682.doc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50EB" w14:textId="77777777" w:rsidR="00EE796F" w:rsidRDefault="00EE796F">
      <w:pPr>
        <w:spacing w:before="60"/>
        <w:ind w:right="1134"/>
      </w:pPr>
      <w:r>
        <w:separator/>
      </w:r>
    </w:p>
  </w:footnote>
  <w:footnote w:type="continuationSeparator" w:id="0">
    <w:p w14:paraId="2A0789DF" w14:textId="77777777" w:rsidR="00EE796F" w:rsidRDefault="00EE796F">
      <w:r>
        <w:separator/>
      </w:r>
    </w:p>
  </w:footnote>
  <w:footnote w:id="1">
    <w:p w14:paraId="228C0A0C" w14:textId="77777777" w:rsidR="00720755" w:rsidRDefault="0072075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תשס"ז מס' 6531</w:t>
        </w:r>
      </w:hyperlink>
      <w:r>
        <w:rPr>
          <w:rFonts w:cs="FrankRuehl" w:hint="cs"/>
          <w:rtl/>
        </w:rPr>
        <w:t xml:space="preserve"> מיום 5.11.2006 עמ' 200; תחילתו ביום 5.12.2006.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B849" w14:textId="77777777" w:rsidR="00720755" w:rsidRDefault="00720755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A5FAA73" w14:textId="77777777" w:rsidR="00720755" w:rsidRDefault="007207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31AE720" w14:textId="77777777" w:rsidR="00720755" w:rsidRDefault="007207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91D5F" w14:textId="77777777" w:rsidR="00720755" w:rsidRDefault="0072075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שמן משומש), תשס"ז-2006</w:t>
    </w:r>
  </w:p>
  <w:p w14:paraId="58189B87" w14:textId="77777777" w:rsidR="00720755" w:rsidRDefault="007207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1377F7" w14:textId="77777777" w:rsidR="00720755" w:rsidRDefault="00720755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2195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05E"/>
    <w:rsid w:val="00720755"/>
    <w:rsid w:val="00A06BF8"/>
    <w:rsid w:val="00B0405E"/>
    <w:rsid w:val="00E234CF"/>
    <w:rsid w:val="00EE796F"/>
    <w:rsid w:val="00F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3688FB0"/>
  <w15:chartTrackingRefBased/>
  <w15:docId w15:val="{4EFA46D2-7D52-4AC9-9212-312F2FD6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5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859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http://www.nevo.co.il/Law_word/law06/tak-6531.pdf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סדר הדין הפלילי (ברירת משפט - שמן משומש), תשס"ז-2006</vt:lpwstr>
  </property>
  <property fmtid="{D5CDD505-2E9C-101B-9397-08002B2CF9AE}" pid="4" name="LAWNUMBER">
    <vt:lpwstr>0682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http://www.nevo.co.il/Law_word/law06/tak-6531.pdf;רשומות - תקנות כלליות#פורסם ק"ת תשס"ז מס' 6531 #מיום 5.11.2006 #עמ' 200# תחילתו ביום 5.12.2006</vt:lpwstr>
  </property>
  <property fmtid="{D5CDD505-2E9C-101B-9397-08002B2CF9AE}" pid="22" name="NOSE11">
    <vt:lpwstr>בתי משפט וסדרי דין</vt:lpwstr>
  </property>
  <property fmtid="{D5CDD505-2E9C-101B-9397-08002B2CF9AE}" pid="23" name="NOSE21">
    <vt:lpwstr>סדר דין פלילי</vt:lpwstr>
  </property>
  <property fmtid="{D5CDD505-2E9C-101B-9397-08002B2CF9AE}" pid="24" name="NOSE31">
    <vt:lpwstr>ברירת משפט</vt:lpwstr>
  </property>
  <property fmtid="{D5CDD505-2E9C-101B-9397-08002B2CF9AE}" pid="25" name="NOSE41">
    <vt:lpwstr/>
  </property>
  <property fmtid="{D5CDD505-2E9C-101B-9397-08002B2CF9AE}" pid="26" name="NOSE12">
    <vt:lpwstr>עונשין ומשפט פלילי</vt:lpwstr>
  </property>
  <property fmtid="{D5CDD505-2E9C-101B-9397-08002B2CF9AE}" pid="27" name="NOSE22">
    <vt:lpwstr>עבירות</vt:lpwstr>
  </property>
  <property fmtid="{D5CDD505-2E9C-101B-9397-08002B2CF9AE}" pid="28" name="NOSE32">
    <vt:lpwstr>עבירות ברירת משפט</vt:lpwstr>
  </property>
  <property fmtid="{D5CDD505-2E9C-101B-9397-08002B2CF9AE}" pid="29" name="NOSE42">
    <vt:lpwstr/>
  </property>
  <property fmtid="{D5CDD505-2E9C-101B-9397-08002B2CF9AE}" pid="30" name="NOSE13">
    <vt:lpwstr>חקלאות טבע וסביבה</vt:lpwstr>
  </property>
  <property fmtid="{D5CDD505-2E9C-101B-9397-08002B2CF9AE}" pid="31" name="NOSE23">
    <vt:lpwstr>איכות הסביבה</vt:lpwstr>
  </property>
  <property fmtid="{D5CDD505-2E9C-101B-9397-08002B2CF9AE}" pid="32" name="NOSE33">
    <vt:lpwstr>פסולת ומיחזור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סדר הדין הפלילי [נוסח משולב]</vt:lpwstr>
  </property>
  <property fmtid="{D5CDD505-2E9C-101B-9397-08002B2CF9AE}" pid="63" name="MEKOR_SAIF1">
    <vt:lpwstr>228XאX</vt:lpwstr>
  </property>
</Properties>
</file>