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E001" w14:textId="77777777" w:rsidR="00920A7C" w:rsidRDefault="00920A7C" w:rsidP="003E7F5C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(עבירות קנס </w:t>
      </w:r>
      <w:r w:rsidR="003E7F5C">
        <w:rPr>
          <w:rtl/>
        </w:rPr>
        <w:t>–</w:t>
      </w:r>
      <w:r>
        <w:rPr>
          <w:rtl/>
        </w:rPr>
        <w:t xml:space="preserve"> אי</w:t>
      </w:r>
      <w:r w:rsidR="003E7F5C">
        <w:rPr>
          <w:rtl/>
        </w:rPr>
        <w:t>גודי ערים) (שירותי כבאות), תש"ן</w:t>
      </w:r>
      <w:r w:rsidR="003E7F5C">
        <w:rPr>
          <w:rFonts w:hint="cs"/>
          <w:rtl/>
        </w:rPr>
        <w:t>-</w:t>
      </w:r>
      <w:r>
        <w:rPr>
          <w:rtl/>
        </w:rPr>
        <w:t>1990</w:t>
      </w:r>
    </w:p>
    <w:p w14:paraId="582B399D" w14:textId="77777777" w:rsidR="00A357B7" w:rsidRPr="00A357B7" w:rsidRDefault="00A357B7" w:rsidP="00A357B7">
      <w:pPr>
        <w:spacing w:line="320" w:lineRule="auto"/>
        <w:jc w:val="left"/>
        <w:rPr>
          <w:rFonts w:cs="FrankRuehl"/>
          <w:szCs w:val="26"/>
          <w:rtl/>
        </w:rPr>
      </w:pPr>
    </w:p>
    <w:p w14:paraId="0D4E1F2B" w14:textId="77777777" w:rsidR="00A357B7" w:rsidRDefault="00A357B7" w:rsidP="00A357B7">
      <w:pPr>
        <w:spacing w:line="320" w:lineRule="auto"/>
        <w:jc w:val="left"/>
        <w:rPr>
          <w:rFonts w:cs="Miriam"/>
          <w:szCs w:val="22"/>
          <w:rtl/>
        </w:rPr>
      </w:pPr>
      <w:r w:rsidRPr="00A357B7">
        <w:rPr>
          <w:rFonts w:cs="Miriam"/>
          <w:szCs w:val="22"/>
          <w:rtl/>
        </w:rPr>
        <w:t>בתי משפט וסדרי דין</w:t>
      </w:r>
      <w:r w:rsidRPr="00A357B7">
        <w:rPr>
          <w:rFonts w:cs="FrankRuehl"/>
          <w:szCs w:val="26"/>
          <w:rtl/>
        </w:rPr>
        <w:t xml:space="preserve"> – סדר דין פלילי – עבירות קנס</w:t>
      </w:r>
    </w:p>
    <w:p w14:paraId="090E7404" w14:textId="77777777" w:rsidR="00A357B7" w:rsidRDefault="00A357B7" w:rsidP="00A357B7">
      <w:pPr>
        <w:spacing w:line="320" w:lineRule="auto"/>
        <w:jc w:val="left"/>
        <w:rPr>
          <w:rFonts w:cs="Miriam"/>
          <w:szCs w:val="22"/>
          <w:rtl/>
        </w:rPr>
      </w:pPr>
      <w:r w:rsidRPr="00A357B7">
        <w:rPr>
          <w:rFonts w:cs="Miriam"/>
          <w:szCs w:val="22"/>
          <w:rtl/>
        </w:rPr>
        <w:t>עונשין ומשפט פלילי</w:t>
      </w:r>
      <w:r w:rsidRPr="00A357B7">
        <w:rPr>
          <w:rFonts w:cs="FrankRuehl"/>
          <w:szCs w:val="26"/>
          <w:rtl/>
        </w:rPr>
        <w:t xml:space="preserve"> – עבירות – עבירות קנס</w:t>
      </w:r>
    </w:p>
    <w:p w14:paraId="0A856432" w14:textId="77777777" w:rsidR="00A357B7" w:rsidRDefault="00A357B7" w:rsidP="00A357B7">
      <w:pPr>
        <w:spacing w:line="320" w:lineRule="auto"/>
        <w:jc w:val="left"/>
        <w:rPr>
          <w:rFonts w:cs="Miriam"/>
          <w:szCs w:val="22"/>
          <w:rtl/>
        </w:rPr>
      </w:pPr>
      <w:r w:rsidRPr="00A357B7">
        <w:rPr>
          <w:rFonts w:cs="Miriam"/>
          <w:szCs w:val="22"/>
          <w:rtl/>
        </w:rPr>
        <w:t>רשויות ומשפט מנהלי</w:t>
      </w:r>
      <w:r w:rsidRPr="00A357B7">
        <w:rPr>
          <w:rFonts w:cs="FrankRuehl"/>
          <w:szCs w:val="26"/>
          <w:rtl/>
        </w:rPr>
        <w:t xml:space="preserve"> – רשויות מקומיות – איגודי ערים – שירותי כבאות</w:t>
      </w:r>
    </w:p>
    <w:p w14:paraId="3A61821E" w14:textId="77777777" w:rsidR="0071387C" w:rsidRPr="00A357B7" w:rsidRDefault="00A357B7" w:rsidP="00A357B7">
      <w:pPr>
        <w:spacing w:line="320" w:lineRule="auto"/>
        <w:jc w:val="left"/>
        <w:rPr>
          <w:rFonts w:cs="Miriam"/>
          <w:szCs w:val="22"/>
          <w:rtl/>
        </w:rPr>
      </w:pPr>
      <w:r w:rsidRPr="00A357B7">
        <w:rPr>
          <w:rFonts w:cs="Miriam"/>
          <w:szCs w:val="22"/>
          <w:rtl/>
        </w:rPr>
        <w:t>בטחון</w:t>
      </w:r>
      <w:r w:rsidRPr="00A357B7">
        <w:rPr>
          <w:rFonts w:cs="FrankRuehl"/>
          <w:szCs w:val="26"/>
          <w:rtl/>
        </w:rPr>
        <w:t xml:space="preserve"> – כבאות – כבאות באיגודי ערים</w:t>
      </w:r>
    </w:p>
    <w:p w14:paraId="49C99C54" w14:textId="77777777" w:rsidR="00920A7C" w:rsidRDefault="00920A7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20A7C" w14:paraId="21530E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7F1DC7" w14:textId="77777777" w:rsidR="00920A7C" w:rsidRDefault="00920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E7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A63E45" w14:textId="77777777" w:rsidR="00920A7C" w:rsidRDefault="00920A7C">
            <w:pPr>
              <w:spacing w:line="240" w:lineRule="auto"/>
              <w:rPr>
                <w:sz w:val="24"/>
              </w:rPr>
            </w:pPr>
            <w:hyperlink w:anchor="Seif0" w:tooltip="עבירות קנס ושיעורי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AFDB3F" w14:textId="77777777" w:rsidR="00920A7C" w:rsidRDefault="00920A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קנס ושיעורי קנס</w:t>
            </w:r>
          </w:p>
        </w:tc>
        <w:tc>
          <w:tcPr>
            <w:tcW w:w="1247" w:type="dxa"/>
          </w:tcPr>
          <w:p w14:paraId="367AD53B" w14:textId="77777777" w:rsidR="00920A7C" w:rsidRDefault="00920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20A7C" w14:paraId="4B7E62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4D007A" w14:textId="77777777" w:rsidR="00920A7C" w:rsidRDefault="00920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E7F5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180011" w14:textId="77777777" w:rsidR="00920A7C" w:rsidRDefault="00920A7C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C76B68" w14:textId="77777777" w:rsidR="00920A7C" w:rsidRDefault="00920A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3706FD0" w14:textId="77777777" w:rsidR="00920A7C" w:rsidRDefault="00920A7C">
            <w:pPr>
              <w:spacing w:line="240" w:lineRule="auto"/>
              <w:rPr>
                <w:sz w:val="24"/>
              </w:rPr>
            </w:pPr>
          </w:p>
        </w:tc>
      </w:tr>
    </w:tbl>
    <w:p w14:paraId="4A8DA805" w14:textId="77777777" w:rsidR="00920A7C" w:rsidRDefault="00920A7C">
      <w:pPr>
        <w:pStyle w:val="big-header"/>
        <w:ind w:left="0" w:right="1134"/>
        <w:rPr>
          <w:rtl/>
        </w:rPr>
      </w:pPr>
    </w:p>
    <w:p w14:paraId="37739A50" w14:textId="77777777" w:rsidR="00920A7C" w:rsidRPr="0071387C" w:rsidRDefault="00920A7C" w:rsidP="0071387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סדר הדין הפלילי (עבירות קנס </w:t>
      </w:r>
      <w:r w:rsidR="003E7F5C">
        <w:rPr>
          <w:rtl/>
        </w:rPr>
        <w:t>–</w:t>
      </w:r>
      <w:r>
        <w:rPr>
          <w:rFonts w:hint="cs"/>
          <w:rtl/>
        </w:rPr>
        <w:t xml:space="preserve"> איגודי ערים) (שירותי כבאות), </w:t>
      </w:r>
      <w:r w:rsidR="00093F94">
        <w:rPr>
          <w:rtl/>
        </w:rPr>
        <w:br/>
      </w:r>
      <w:r>
        <w:rPr>
          <w:rFonts w:hint="cs"/>
          <w:rtl/>
        </w:rPr>
        <w:t>תש"ן</w:t>
      </w:r>
      <w:r w:rsidR="003E7F5C">
        <w:rPr>
          <w:rFonts w:hint="cs"/>
          <w:rtl/>
        </w:rPr>
        <w:t>-</w:t>
      </w:r>
      <w:r>
        <w:rPr>
          <w:rFonts w:hint="cs"/>
          <w:rtl/>
        </w:rPr>
        <w:t>1990</w:t>
      </w:r>
      <w:r w:rsidR="003E7F5C">
        <w:rPr>
          <w:rStyle w:val="a6"/>
          <w:rtl/>
        </w:rPr>
        <w:footnoteReference w:customMarkFollows="1" w:id="1"/>
        <w:t>*</w:t>
      </w:r>
    </w:p>
    <w:p w14:paraId="68F3C860" w14:textId="77777777" w:rsidR="00920A7C" w:rsidRDefault="00920A7C" w:rsidP="003E7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 לחוק סדר הדין הפלילי [נוסח משולב], תשמ"</w:t>
      </w:r>
      <w:r>
        <w:rPr>
          <w:rStyle w:val="default"/>
          <w:rFonts w:cs="FrankRuehl"/>
          <w:rtl/>
        </w:rPr>
        <w:t>ב</w:t>
      </w:r>
      <w:r w:rsidR="003E7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1982, בהסכמת שר הפנים ובאישור ועדת החוקה, חוק ומשפט של הכנסת, אני מצווה לאמור:</w:t>
      </w:r>
    </w:p>
    <w:p w14:paraId="6B5AF87E" w14:textId="77777777" w:rsidR="00920A7C" w:rsidRDefault="00920A7C" w:rsidP="003E7F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350F1EC">
          <v:rect id="_x0000_s1026" style="position:absolute;left:0;text-align:left;margin-left:464.5pt;margin-top:8.05pt;width:75.05pt;height:21.8pt;z-index:251657728" o:allowincell="f" filled="f" stroked="f" strokecolor="lime" strokeweight=".25pt">
            <v:textbox inset="0,0,0,0">
              <w:txbxContent>
                <w:p w14:paraId="5EBFC399" w14:textId="77777777" w:rsidR="00920A7C" w:rsidRDefault="00920A7C" w:rsidP="003E7F5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בירות קנס</w:t>
                  </w:r>
                  <w:r w:rsidR="003E7F5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שיעורי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עבירה על הוראה שבסעיף מהסעיפים המפורטים להלן בטור א', של חוק עזר לדוגמה לאיגוד ערים (שירותי כבאות) (מניעת דליקות), תשמ"ח</w:t>
      </w:r>
      <w:r w:rsidR="003E7F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1988, שאימץ איגוד ערים (שירותי כבאות) מן המפו</w:t>
      </w:r>
      <w:r>
        <w:rPr>
          <w:rStyle w:val="default"/>
          <w:rFonts w:cs="FrankRuehl"/>
          <w:rtl/>
        </w:rPr>
        <w:t>ר</w:t>
      </w:r>
      <w:r w:rsidR="003E7F5C">
        <w:rPr>
          <w:rStyle w:val="default"/>
          <w:rFonts w:cs="FrankRuehl" w:hint="cs"/>
          <w:rtl/>
        </w:rPr>
        <w:t>טים בתוספת, היא עבירת קנס.</w:t>
      </w:r>
    </w:p>
    <w:p w14:paraId="1BFBF003" w14:textId="77777777" w:rsidR="00920A7C" w:rsidRDefault="00920A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שיעור הקנס לכל עבירה כאמור בסעיף קטן (א) יהיה לפי דרגת הקנס שנקבעה בטור ב' להלן לגבי עבירה ראשונה וכפל </w:t>
      </w:r>
      <w:r w:rsidR="003E7F5C">
        <w:rPr>
          <w:rStyle w:val="default"/>
          <w:rFonts w:cs="FrankRuehl" w:hint="cs"/>
          <w:rtl/>
        </w:rPr>
        <w:t>הקנס לגבי עבירה חוזרת או נוספת:</w:t>
      </w:r>
    </w:p>
    <w:p w14:paraId="2B336ED8" w14:textId="77777777" w:rsidR="00920A7C" w:rsidRPr="003E7F5C" w:rsidRDefault="003E7F5C" w:rsidP="003E7F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407"/>
        </w:tabs>
        <w:spacing w:before="72"/>
        <w:ind w:left="624" w:right="1134"/>
        <w:rPr>
          <w:rStyle w:val="default"/>
          <w:rFonts w:cs="FrankRuehl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920A7C" w:rsidRPr="003E7F5C">
        <w:rPr>
          <w:sz w:val="22"/>
          <w:szCs w:val="22"/>
          <w:rtl/>
        </w:rPr>
        <w:tab/>
      </w:r>
      <w:r w:rsidR="00920A7C" w:rsidRPr="003E7F5C">
        <w:rPr>
          <w:rStyle w:val="default"/>
          <w:rFonts w:cs="FrankRuehl"/>
          <w:sz w:val="22"/>
          <w:szCs w:val="22"/>
          <w:rtl/>
        </w:rPr>
        <w:t>ט</w:t>
      </w:r>
      <w:r w:rsidR="00920A7C" w:rsidRPr="003E7F5C">
        <w:rPr>
          <w:rStyle w:val="default"/>
          <w:rFonts w:cs="FrankRuehl" w:hint="cs"/>
          <w:sz w:val="22"/>
          <w:szCs w:val="22"/>
          <w:rtl/>
        </w:rPr>
        <w:t>ור ב'</w:t>
      </w:r>
    </w:p>
    <w:p w14:paraId="6F302072" w14:textId="77777777" w:rsidR="00920A7C" w:rsidRPr="003E7F5C" w:rsidRDefault="003E7F5C" w:rsidP="003E7F5C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119"/>
          <w:tab w:val="center" w:pos="6407"/>
        </w:tabs>
        <w:spacing w:before="0"/>
        <w:ind w:left="624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920A7C" w:rsidRPr="003E7F5C">
        <w:rPr>
          <w:rStyle w:val="default"/>
          <w:rFonts w:cs="FrankRuehl"/>
          <w:sz w:val="22"/>
          <w:szCs w:val="22"/>
          <w:rtl/>
        </w:rPr>
        <w:t>ט</w:t>
      </w:r>
      <w:r w:rsidR="00920A7C" w:rsidRPr="003E7F5C">
        <w:rPr>
          <w:rStyle w:val="default"/>
          <w:rFonts w:cs="FrankRuehl" w:hint="cs"/>
          <w:sz w:val="22"/>
          <w:szCs w:val="22"/>
          <w:rtl/>
        </w:rPr>
        <w:t>ור א'</w:t>
      </w:r>
      <w:r w:rsidR="00920A7C" w:rsidRPr="003E7F5C">
        <w:rPr>
          <w:rStyle w:val="default"/>
          <w:rFonts w:cs="FrankRuehl"/>
          <w:sz w:val="22"/>
          <w:szCs w:val="22"/>
          <w:rtl/>
        </w:rPr>
        <w:tab/>
      </w:r>
      <w:r w:rsidR="00920A7C" w:rsidRPr="003E7F5C">
        <w:rPr>
          <w:rStyle w:val="default"/>
          <w:rFonts w:cs="FrankRuehl" w:hint="cs"/>
          <w:sz w:val="22"/>
          <w:szCs w:val="22"/>
          <w:rtl/>
        </w:rPr>
        <w:t>דרגת הקנס</w:t>
      </w:r>
    </w:p>
    <w:p w14:paraId="2459964C" w14:textId="77777777" w:rsidR="00920A7C" w:rsidRPr="003E7F5C" w:rsidRDefault="003E7F5C" w:rsidP="003E7F5C">
      <w:pPr>
        <w:pStyle w:val="P22"/>
        <w:pBdr>
          <w:bottom w:val="single" w:sz="4" w:space="1" w:color="auto"/>
        </w:pBdr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407"/>
        </w:tabs>
        <w:spacing w:before="0"/>
        <w:ind w:left="624" w:right="1134"/>
        <w:rPr>
          <w:rStyle w:val="default"/>
          <w:rFonts w:cs="FrankRuehl"/>
          <w:sz w:val="22"/>
          <w:szCs w:val="22"/>
          <w:rtl/>
        </w:rPr>
      </w:pPr>
      <w:r w:rsidRPr="003E7F5C">
        <w:rPr>
          <w:rStyle w:val="default"/>
          <w:rFonts w:cs="FrankRuehl" w:hint="cs"/>
          <w:sz w:val="22"/>
          <w:szCs w:val="22"/>
          <w:rtl/>
        </w:rPr>
        <w:tab/>
      </w:r>
      <w:r w:rsidR="00920A7C" w:rsidRPr="003E7F5C">
        <w:rPr>
          <w:rStyle w:val="default"/>
          <w:rFonts w:cs="FrankRuehl"/>
          <w:sz w:val="22"/>
          <w:szCs w:val="22"/>
          <w:rtl/>
        </w:rPr>
        <w:t>ה</w:t>
      </w:r>
      <w:r w:rsidR="00920A7C" w:rsidRPr="003E7F5C">
        <w:rPr>
          <w:rStyle w:val="default"/>
          <w:rFonts w:cs="FrankRuehl" w:hint="cs"/>
          <w:sz w:val="22"/>
          <w:szCs w:val="22"/>
          <w:rtl/>
        </w:rPr>
        <w:t>סעיף ותוכנו</w:t>
      </w:r>
      <w:r w:rsidR="00920A7C" w:rsidRPr="003E7F5C">
        <w:rPr>
          <w:rStyle w:val="default"/>
          <w:rFonts w:cs="FrankRuehl"/>
          <w:sz w:val="22"/>
          <w:szCs w:val="22"/>
          <w:rtl/>
        </w:rPr>
        <w:tab/>
      </w:r>
      <w:r w:rsidR="00920A7C" w:rsidRPr="003E7F5C">
        <w:rPr>
          <w:rStyle w:val="default"/>
          <w:rFonts w:cs="FrankRuehl" w:hint="cs"/>
          <w:sz w:val="22"/>
          <w:szCs w:val="22"/>
          <w:rtl/>
        </w:rPr>
        <w:t>בשקלים חדשים</w:t>
      </w:r>
    </w:p>
    <w:p w14:paraId="1BE7B635" w14:textId="77777777" w:rsidR="00920A7C" w:rsidRDefault="00920A7C" w:rsidP="003E7F5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rPr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תקנת מיתקן באופן העלול לגרום לבעי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או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התפשטות אש, אם לא ננקטו אמצעי בטיחות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tl/>
        </w:rPr>
        <w:t>(</w:t>
      </w:r>
      <w:r>
        <w:rPr>
          <w:rFonts w:hint="cs"/>
          <w:rtl/>
        </w:rPr>
        <w:t>סעיף 2(א))</w:t>
      </w:r>
      <w:r>
        <w:rPr>
          <w:rtl/>
        </w:rPr>
        <w:tab/>
      </w:r>
      <w:r>
        <w:rPr>
          <w:rFonts w:hint="cs"/>
          <w:rtl/>
        </w:rPr>
        <w:t>225</w:t>
      </w:r>
    </w:p>
    <w:p w14:paraId="2345C581" w14:textId="77777777" w:rsidR="00920A7C" w:rsidRDefault="00920A7C" w:rsidP="003E7F5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rPr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תקנת מיתקן בסמוך לחומר דליק או באופן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tl/>
        </w:rPr>
        <w:t>ה</w:t>
      </w:r>
      <w:r>
        <w:rPr>
          <w:rFonts w:hint="cs"/>
          <w:rtl/>
        </w:rPr>
        <w:t>עלול לגרום לדליקה (סעיף 2(ב))</w:t>
      </w:r>
      <w:r>
        <w:rPr>
          <w:rtl/>
        </w:rPr>
        <w:tab/>
      </w:r>
      <w:r>
        <w:rPr>
          <w:rFonts w:hint="cs"/>
          <w:rtl/>
        </w:rPr>
        <w:t>225</w:t>
      </w:r>
    </w:p>
    <w:p w14:paraId="46B6ACD2" w14:textId="77777777" w:rsidR="00920A7C" w:rsidRDefault="00920A7C" w:rsidP="003E7F5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rPr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בערת אש בשטח פתוח ללא נקיטת אמצעי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tl/>
        </w:rPr>
        <w:t>ז</w:t>
      </w:r>
      <w:r>
        <w:rPr>
          <w:rFonts w:hint="cs"/>
          <w:rtl/>
        </w:rPr>
        <w:t>הירות לכיבויה (סעיף 2(ג))</w:t>
      </w:r>
      <w:r>
        <w:rPr>
          <w:rtl/>
        </w:rPr>
        <w:tab/>
      </w:r>
      <w:r>
        <w:rPr>
          <w:rFonts w:hint="cs"/>
          <w:rtl/>
        </w:rPr>
        <w:t>225</w:t>
      </w:r>
    </w:p>
    <w:p w14:paraId="6910CEA7" w14:textId="77777777" w:rsidR="00920A7C" w:rsidRDefault="00920A7C" w:rsidP="003E7F5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rPr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פיכה או הנחה של חומר דליק בשטח פתוח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tl/>
        </w:rPr>
        <w:t>א</w:t>
      </w:r>
      <w:r>
        <w:rPr>
          <w:rFonts w:hint="cs"/>
          <w:rtl/>
        </w:rPr>
        <w:t>ו ליד מיתקן, איס</w:t>
      </w:r>
      <w:r>
        <w:rPr>
          <w:rtl/>
        </w:rPr>
        <w:t>ו</w:t>
      </w:r>
      <w:r>
        <w:rPr>
          <w:rFonts w:hint="cs"/>
          <w:rtl/>
        </w:rPr>
        <w:t>ר הנחה לחומר דליק</w:t>
      </w:r>
      <w:r w:rsidR="003E7F5C">
        <w:rPr>
          <w:rFonts w:hint="cs"/>
          <w:rtl/>
        </w:rPr>
        <w:t xml:space="preserve"> </w:t>
      </w:r>
      <w:r>
        <w:rPr>
          <w:rtl/>
        </w:rPr>
        <w:t>ל</w:t>
      </w:r>
      <w:r>
        <w:rPr>
          <w:rFonts w:hint="cs"/>
          <w:rtl/>
        </w:rPr>
        <w:t>דלוף ממיתקן (סעיף 2(ד))</w:t>
      </w:r>
      <w:r>
        <w:rPr>
          <w:rtl/>
        </w:rPr>
        <w:tab/>
      </w:r>
      <w:r>
        <w:rPr>
          <w:rFonts w:hint="cs"/>
          <w:rtl/>
        </w:rPr>
        <w:t>225</w:t>
      </w:r>
    </w:p>
    <w:p w14:paraId="44D4B8C1" w14:textId="77777777" w:rsidR="00920A7C" w:rsidRDefault="00920A7C" w:rsidP="003E7F5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rPr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ספקת דלק למיתקן שאינו תקין ללא נקיטת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tl/>
        </w:rPr>
        <w:t>א</w:t>
      </w:r>
      <w:r>
        <w:rPr>
          <w:rFonts w:hint="cs"/>
          <w:rtl/>
        </w:rPr>
        <w:t>מצעי בטיחות למניעת נזילה מהמיתקן (סעיף</w:t>
      </w:r>
      <w:r w:rsidR="003E7F5C">
        <w:rPr>
          <w:rFonts w:hint="cs"/>
          <w:rtl/>
        </w:rPr>
        <w:t xml:space="preserve"> </w:t>
      </w:r>
      <w:r>
        <w:rPr>
          <w:rtl/>
        </w:rPr>
        <w:t>2(</w:t>
      </w:r>
      <w:r>
        <w:rPr>
          <w:rFonts w:hint="cs"/>
          <w:rtl/>
        </w:rPr>
        <w:t>ה))</w:t>
      </w:r>
      <w:r>
        <w:rPr>
          <w:rtl/>
        </w:rPr>
        <w:tab/>
      </w:r>
      <w:r>
        <w:rPr>
          <w:rFonts w:hint="cs"/>
          <w:rtl/>
        </w:rPr>
        <w:t>225</w:t>
      </w:r>
    </w:p>
    <w:p w14:paraId="2FC0A705" w14:textId="77777777" w:rsidR="00920A7C" w:rsidRDefault="00920A7C" w:rsidP="003E7F5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rPr>
          <w:rtl/>
        </w:rPr>
      </w:pP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ריקת גפרור דולק או כל חפץ או חומר דולק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tl/>
        </w:rPr>
        <w:t>א</w:t>
      </w:r>
      <w:r>
        <w:rPr>
          <w:rFonts w:hint="cs"/>
          <w:rtl/>
        </w:rPr>
        <w:t>ם לא ננקטו אמצעי זהירות להבטחת מניעת</w:t>
      </w:r>
      <w:r w:rsidR="003E7F5C">
        <w:rPr>
          <w:rFonts w:hint="cs"/>
          <w:rtl/>
        </w:rPr>
        <w:t xml:space="preserve"> </w:t>
      </w:r>
      <w:r>
        <w:rPr>
          <w:rtl/>
        </w:rPr>
        <w:t>ד</w:t>
      </w:r>
      <w:r>
        <w:rPr>
          <w:rFonts w:hint="cs"/>
          <w:rtl/>
        </w:rPr>
        <w:t>ליקה (סעיף 2(ו))</w:t>
      </w:r>
      <w:r>
        <w:rPr>
          <w:rtl/>
        </w:rPr>
        <w:tab/>
      </w:r>
      <w:r>
        <w:rPr>
          <w:rFonts w:hint="cs"/>
          <w:rtl/>
        </w:rPr>
        <w:t>225</w:t>
      </w:r>
    </w:p>
    <w:p w14:paraId="0CD43BAB" w14:textId="77777777" w:rsidR="00920A7C" w:rsidRDefault="00920A7C" w:rsidP="003E7F5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rPr>
          <w:rFonts w:hint="cs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ובת החזקת מיתקן במצב המבטיח מניעת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tl/>
        </w:rPr>
        <w:t>ד</w:t>
      </w:r>
      <w:r>
        <w:rPr>
          <w:rFonts w:hint="cs"/>
          <w:rtl/>
        </w:rPr>
        <w:t>ליקה וחובת נקיטת אמצעי בטיחות לשם</w:t>
      </w:r>
      <w:r w:rsidR="003E7F5C">
        <w:rPr>
          <w:rFonts w:hint="cs"/>
          <w:rtl/>
        </w:rPr>
        <w:t xml:space="preserve"> </w:t>
      </w:r>
      <w:r>
        <w:rPr>
          <w:rtl/>
        </w:rPr>
        <w:t>מ</w:t>
      </w:r>
      <w:r>
        <w:rPr>
          <w:rFonts w:hint="cs"/>
          <w:rtl/>
        </w:rPr>
        <w:t>ניעת גרימת דליקה (סעיף 2(ז))</w:t>
      </w:r>
      <w:r>
        <w:rPr>
          <w:rtl/>
        </w:rPr>
        <w:tab/>
      </w:r>
      <w:r w:rsidR="003E7F5C">
        <w:rPr>
          <w:rFonts w:hint="cs"/>
          <w:rtl/>
        </w:rPr>
        <w:t>150</w:t>
      </w:r>
    </w:p>
    <w:p w14:paraId="4501C239" w14:textId="77777777" w:rsidR="00920A7C" w:rsidRDefault="00920A7C" w:rsidP="003E7F5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624" w:right="3119"/>
        <w:rPr>
          <w:rFonts w:hint="cs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ובת מילוי אחר הוראו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מפקד שירותי</w:t>
      </w:r>
      <w:r w:rsidR="003E7F5C">
        <w:rPr>
          <w:rStyle w:val="default"/>
          <w:rFonts w:cs="FrankRuehl"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באות (סעיף 5)</w:t>
      </w:r>
      <w:r>
        <w:rPr>
          <w:rtl/>
        </w:rPr>
        <w:tab/>
      </w:r>
      <w:r>
        <w:rPr>
          <w:rFonts w:hint="cs"/>
          <w:rtl/>
        </w:rPr>
        <w:t>150</w:t>
      </w:r>
    </w:p>
    <w:p w14:paraId="6F84D9E6" w14:textId="77777777" w:rsidR="003E7F5C" w:rsidRPr="003E7F5C" w:rsidRDefault="003E7F5C" w:rsidP="003E7F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A83A8C" w14:textId="77777777" w:rsidR="00920A7C" w:rsidRPr="003E7F5C" w:rsidRDefault="00920A7C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" w:name="med0"/>
      <w:bookmarkEnd w:id="1"/>
      <w:r w:rsidRPr="003E7F5C">
        <w:rPr>
          <w:noProof/>
          <w:sz w:val="26"/>
          <w:szCs w:val="26"/>
          <w:rtl/>
        </w:rPr>
        <w:t>ת</w:t>
      </w:r>
      <w:r w:rsidRPr="003E7F5C">
        <w:rPr>
          <w:rFonts w:hint="cs"/>
          <w:noProof/>
          <w:sz w:val="26"/>
          <w:szCs w:val="26"/>
          <w:rtl/>
        </w:rPr>
        <w:t>וספת</w:t>
      </w:r>
    </w:p>
    <w:p w14:paraId="0EDAFF94" w14:textId="77777777" w:rsidR="00920A7C" w:rsidRPr="003E7F5C" w:rsidRDefault="00920A7C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E7F5C">
        <w:rPr>
          <w:sz w:val="24"/>
          <w:szCs w:val="24"/>
          <w:rtl/>
        </w:rPr>
        <w:t>(</w:t>
      </w:r>
      <w:r w:rsidRPr="003E7F5C">
        <w:rPr>
          <w:rFonts w:hint="cs"/>
          <w:sz w:val="24"/>
          <w:szCs w:val="24"/>
          <w:rtl/>
        </w:rPr>
        <w:t>סעיף 1(א))</w:t>
      </w:r>
    </w:p>
    <w:p w14:paraId="028B87C4" w14:textId="77777777" w:rsidR="00920A7C" w:rsidRDefault="00920A7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איגוד ערים (שירותי כבאות) אזור אשקלון;</w:t>
      </w:r>
    </w:p>
    <w:p w14:paraId="3DE42A1E" w14:textId="77777777" w:rsidR="00920A7C" w:rsidRDefault="00920A7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יגוד ערים (שירותי כבאות) אזור באר-שבע; </w:t>
      </w:r>
    </w:p>
    <w:p w14:paraId="7530986A" w14:textId="77777777" w:rsidR="00920A7C" w:rsidRDefault="00920A7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יגוד ערים (שירותי כבאות) אזור נתניה; </w:t>
      </w:r>
    </w:p>
    <w:p w14:paraId="64541158" w14:textId="77777777" w:rsidR="00920A7C" w:rsidRDefault="00920A7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יגוד ערים (שירותי כבאות) אזור ראשון לציון;</w:t>
      </w:r>
    </w:p>
    <w:p w14:paraId="082A3A1C" w14:textId="77777777" w:rsidR="00920A7C" w:rsidRDefault="00920A7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יגוד ערים (שירותי כבאות) א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ור בני-ברק; </w:t>
      </w:r>
    </w:p>
    <w:p w14:paraId="5703EF2E" w14:textId="77777777" w:rsidR="00920A7C" w:rsidRDefault="00920A7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יגוד ערים (שירותי כבאות) אזור פתח-תקוה;</w:t>
      </w:r>
    </w:p>
    <w:p w14:paraId="4CFB9B97" w14:textId="77777777" w:rsidR="00920A7C" w:rsidRDefault="00920A7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7.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יגוד ערים (שירותי כבאות) אזור איילון;</w:t>
      </w:r>
    </w:p>
    <w:p w14:paraId="6B8CCE90" w14:textId="77777777" w:rsidR="00920A7C" w:rsidRDefault="00920A7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8.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יגוד ערים (שירותי כבאות) אזור יזרעאל.</w:t>
      </w:r>
    </w:p>
    <w:p w14:paraId="13DD5AEF" w14:textId="77777777" w:rsidR="00920A7C" w:rsidRDefault="00920A7C" w:rsidP="003E7F5C">
      <w:pPr>
        <w:pStyle w:val="P01"/>
        <w:spacing w:before="72"/>
        <w:ind w:left="0" w:right="1134" w:firstLine="0"/>
        <w:rPr>
          <w:rStyle w:val="default"/>
          <w:rFonts w:cs="FrankRuehl"/>
          <w:rtl/>
        </w:rPr>
      </w:pPr>
    </w:p>
    <w:p w14:paraId="2DF6369A" w14:textId="77777777" w:rsidR="00920A7C" w:rsidRDefault="00920A7C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באדר תש"ן (13 במרס 1990)</w:t>
      </w:r>
      <w:r>
        <w:rPr>
          <w:rtl/>
        </w:rPr>
        <w:tab/>
      </w:r>
      <w:r>
        <w:rPr>
          <w:rFonts w:hint="cs"/>
          <w:rtl/>
        </w:rPr>
        <w:t>דן מרידור</w:t>
      </w:r>
    </w:p>
    <w:p w14:paraId="59997920" w14:textId="77777777" w:rsidR="00920A7C" w:rsidRDefault="00920A7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6FC8AFE4" w14:textId="77777777" w:rsidR="003E7F5C" w:rsidRPr="003E7F5C" w:rsidRDefault="003E7F5C" w:rsidP="003E7F5C">
      <w:pPr>
        <w:pStyle w:val="P01"/>
        <w:spacing w:before="72"/>
        <w:ind w:left="0" w:right="1134" w:firstLine="0"/>
        <w:rPr>
          <w:rStyle w:val="default"/>
          <w:rFonts w:cs="FrankRuehl" w:hint="cs"/>
          <w:rtl/>
        </w:rPr>
      </w:pPr>
    </w:p>
    <w:p w14:paraId="0110B3EB" w14:textId="77777777" w:rsidR="003E7F5C" w:rsidRPr="003E7F5C" w:rsidRDefault="003E7F5C" w:rsidP="003E7F5C">
      <w:pPr>
        <w:pStyle w:val="P01"/>
        <w:spacing w:before="72"/>
        <w:ind w:left="0" w:right="1134" w:firstLine="0"/>
        <w:rPr>
          <w:rStyle w:val="default"/>
          <w:rFonts w:cs="FrankRuehl"/>
          <w:rtl/>
        </w:rPr>
      </w:pPr>
    </w:p>
    <w:p w14:paraId="78D2FC09" w14:textId="77777777" w:rsidR="00920A7C" w:rsidRPr="003E7F5C" w:rsidRDefault="00920A7C" w:rsidP="003E7F5C">
      <w:pPr>
        <w:pStyle w:val="P01"/>
        <w:spacing w:before="72"/>
        <w:ind w:left="0" w:right="1134" w:firstLine="0"/>
        <w:rPr>
          <w:rStyle w:val="default"/>
          <w:rFonts w:cs="FrankRuehl"/>
          <w:rtl/>
        </w:rPr>
      </w:pPr>
      <w:bookmarkStart w:id="2" w:name="LawPartEnd"/>
    </w:p>
    <w:bookmarkEnd w:id="2"/>
    <w:p w14:paraId="511BD1EA" w14:textId="77777777" w:rsidR="00920A7C" w:rsidRPr="003E7F5C" w:rsidRDefault="00920A7C" w:rsidP="003E7F5C">
      <w:pPr>
        <w:pStyle w:val="P01"/>
        <w:spacing w:before="72"/>
        <w:ind w:left="0" w:right="1134" w:firstLine="0"/>
        <w:rPr>
          <w:rStyle w:val="default"/>
          <w:rFonts w:cs="FrankRuehl"/>
          <w:rtl/>
        </w:rPr>
      </w:pPr>
    </w:p>
    <w:sectPr w:rsidR="00920A7C" w:rsidRPr="003E7F5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1856" w14:textId="77777777" w:rsidR="00E7442E" w:rsidRDefault="00E7442E">
      <w:r>
        <w:separator/>
      </w:r>
    </w:p>
  </w:endnote>
  <w:endnote w:type="continuationSeparator" w:id="0">
    <w:p w14:paraId="38FCEA86" w14:textId="77777777" w:rsidR="00E7442E" w:rsidRDefault="00E7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8E9C" w14:textId="77777777" w:rsidR="00920A7C" w:rsidRDefault="00920A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ED9EF3" w14:textId="77777777" w:rsidR="00920A7C" w:rsidRDefault="00920A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F788CF" w14:textId="77777777" w:rsidR="00920A7C" w:rsidRDefault="00920A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7F5C">
      <w:rPr>
        <w:rFonts w:cs="TopType Jerushalmi"/>
        <w:noProof/>
        <w:color w:val="000000"/>
        <w:sz w:val="14"/>
        <w:szCs w:val="14"/>
      </w:rPr>
      <w:t>C:\Yael\hakika\Revadim\055_183.doc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67FD" w14:textId="77777777" w:rsidR="00920A7C" w:rsidRDefault="00920A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01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A24C1E" w14:textId="77777777" w:rsidR="00920A7C" w:rsidRDefault="00920A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4F1ACE" w14:textId="77777777" w:rsidR="00920A7C" w:rsidRDefault="00920A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7F5C">
      <w:rPr>
        <w:rFonts w:cs="TopType Jerushalmi"/>
        <w:noProof/>
        <w:color w:val="000000"/>
        <w:sz w:val="14"/>
        <w:szCs w:val="14"/>
      </w:rPr>
      <w:t>C:\Yael\hakika\Revadim\055_183.doc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C480" w14:textId="77777777" w:rsidR="00E7442E" w:rsidRDefault="00E7442E" w:rsidP="003E7F5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FB0168" w14:textId="77777777" w:rsidR="00E7442E" w:rsidRDefault="00E7442E">
      <w:r>
        <w:continuationSeparator/>
      </w:r>
    </w:p>
  </w:footnote>
  <w:footnote w:id="1">
    <w:p w14:paraId="25683C57" w14:textId="77777777" w:rsidR="003E7F5C" w:rsidRPr="003E7F5C" w:rsidRDefault="003E7F5C" w:rsidP="003E7F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E7F5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B50825">
          <w:rPr>
            <w:rStyle w:val="Hyperlink"/>
            <w:rFonts w:hint="cs"/>
            <w:sz w:val="20"/>
            <w:rtl/>
          </w:rPr>
          <w:t>ק"ת תש"ן מס' 5259</w:t>
        </w:r>
      </w:hyperlink>
      <w:r>
        <w:rPr>
          <w:rFonts w:hint="cs"/>
          <w:sz w:val="20"/>
          <w:rtl/>
        </w:rPr>
        <w:t xml:space="preserve"> מיום 29.3.1990 עמ' 510.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3F0F7" w14:textId="77777777" w:rsidR="00920A7C" w:rsidRDefault="00920A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— איגודי ערים) (שירותי כבאות), תש"ן–1990</w:t>
    </w:r>
  </w:p>
  <w:p w14:paraId="3AA01C2E" w14:textId="77777777" w:rsidR="00920A7C" w:rsidRDefault="00920A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65F27E" w14:textId="77777777" w:rsidR="00920A7C" w:rsidRDefault="00920A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EA6FF" w14:textId="77777777" w:rsidR="00920A7C" w:rsidRDefault="00920A7C" w:rsidP="003E7F5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(עבירות קנס </w:t>
    </w:r>
    <w:r w:rsidR="003E7F5C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אי</w:t>
    </w:r>
    <w:r w:rsidR="003E7F5C">
      <w:rPr>
        <w:rFonts w:hAnsi="FrankRuehl" w:cs="FrankRuehl"/>
        <w:color w:val="000000"/>
        <w:sz w:val="28"/>
        <w:szCs w:val="28"/>
        <w:rtl/>
      </w:rPr>
      <w:t>גודי ערים) (שירותי כבאות), תש"ן</w:t>
    </w:r>
    <w:r w:rsidR="003E7F5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1A392DDA" w14:textId="77777777" w:rsidR="00920A7C" w:rsidRDefault="00920A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A0BF6E" w14:textId="77777777" w:rsidR="00920A7C" w:rsidRDefault="00920A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825"/>
    <w:rsid w:val="00093F94"/>
    <w:rsid w:val="00285C4D"/>
    <w:rsid w:val="003E7F5C"/>
    <w:rsid w:val="00520174"/>
    <w:rsid w:val="00640E8A"/>
    <w:rsid w:val="0071387C"/>
    <w:rsid w:val="00920A7C"/>
    <w:rsid w:val="00A357B7"/>
    <w:rsid w:val="00AE0CE6"/>
    <w:rsid w:val="00AF625D"/>
    <w:rsid w:val="00B50825"/>
    <w:rsid w:val="00DA4218"/>
    <w:rsid w:val="00E7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C8E1473"/>
  <w15:chartTrackingRefBased/>
  <w15:docId w15:val="{F3993262-4BD9-4460-974F-ABA608FC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E7F5C"/>
    <w:rPr>
      <w:sz w:val="20"/>
      <w:szCs w:val="20"/>
    </w:rPr>
  </w:style>
  <w:style w:type="character" w:styleId="a6">
    <w:name w:val="footnote reference"/>
    <w:basedOn w:val="a0"/>
    <w:semiHidden/>
    <w:rsid w:val="003E7F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2170</CharactersWithSpaces>
  <SharedDoc>false</SharedDoc>
  <HLinks>
    <vt:vector size="18" baseType="variant">
      <vt:variant>
        <vt:i4>5570569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- איגודי ערים) (שירותי כבאות), תש"ן-1990</vt:lpwstr>
  </property>
  <property fmtid="{D5CDD505-2E9C-101B-9397-08002B2CF9AE}" pid="5" name="LAWNUMBER">
    <vt:lpwstr>0183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רשויות מקומיות</vt:lpwstr>
  </property>
  <property fmtid="{D5CDD505-2E9C-101B-9397-08002B2CF9AE}" pid="17" name="NOSE33">
    <vt:lpwstr>איגודי ערים</vt:lpwstr>
  </property>
  <property fmtid="{D5CDD505-2E9C-101B-9397-08002B2CF9AE}" pid="18" name="NOSE43">
    <vt:lpwstr>שירותי כבאות</vt:lpwstr>
  </property>
  <property fmtid="{D5CDD505-2E9C-101B-9397-08002B2CF9AE}" pid="19" name="NOSE14">
    <vt:lpwstr>בטחון</vt:lpwstr>
  </property>
  <property fmtid="{D5CDD505-2E9C-101B-9397-08002B2CF9AE}" pid="20" name="NOSE24">
    <vt:lpwstr>כבאות</vt:lpwstr>
  </property>
  <property fmtid="{D5CDD505-2E9C-101B-9397-08002B2CF9AE}" pid="21" name="NOSE34">
    <vt:lpwstr>כבאות באיגודי ערים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</Properties>
</file>