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600" w14:textId="77777777" w:rsidR="007B0190" w:rsidRDefault="007B0190">
      <w:pPr>
        <w:pStyle w:val="big-header"/>
        <w:ind w:left="0" w:right="1134"/>
      </w:pPr>
      <w:r>
        <w:rPr>
          <w:rFonts w:hint="cs"/>
          <w:rtl/>
        </w:rPr>
        <w:t>צו רשות הספנות והנמלים (העברת זכויות בנכסים שאינם מקרקעין)</w:t>
      </w:r>
      <w:r>
        <w:rPr>
          <w:rtl/>
        </w:rPr>
        <w:t xml:space="preserve">, </w:t>
      </w:r>
      <w:r>
        <w:rPr>
          <w:rFonts w:hint="cs"/>
          <w:rtl/>
        </w:rPr>
        <w:br/>
      </w:r>
      <w:r>
        <w:rPr>
          <w:rtl/>
        </w:rPr>
        <w:t>תשס"</w:t>
      </w:r>
      <w:r>
        <w:rPr>
          <w:rFonts w:hint="cs"/>
          <w:rtl/>
        </w:rPr>
        <w:t>ה</w:t>
      </w:r>
      <w:r>
        <w:rPr>
          <w:rtl/>
        </w:rPr>
        <w:t>-200</w:t>
      </w:r>
      <w:r>
        <w:rPr>
          <w:rFonts w:hint="cs"/>
          <w:rtl/>
        </w:rPr>
        <w:t>5</w:t>
      </w:r>
    </w:p>
    <w:p w14:paraId="390FC692" w14:textId="77777777" w:rsidR="00545DC8" w:rsidRPr="00545DC8" w:rsidRDefault="00545DC8" w:rsidP="00545DC8">
      <w:pPr>
        <w:spacing w:line="320" w:lineRule="auto"/>
        <w:jc w:val="left"/>
        <w:rPr>
          <w:rFonts w:cs="FrankRuehl"/>
          <w:szCs w:val="26"/>
          <w:rtl/>
        </w:rPr>
      </w:pPr>
    </w:p>
    <w:p w14:paraId="2D41AE33" w14:textId="77777777" w:rsidR="00545DC8" w:rsidRDefault="00545DC8" w:rsidP="00545DC8">
      <w:pPr>
        <w:spacing w:line="320" w:lineRule="auto"/>
        <w:jc w:val="left"/>
        <w:rPr>
          <w:rtl/>
        </w:rPr>
      </w:pPr>
    </w:p>
    <w:p w14:paraId="4BC4A83A" w14:textId="77777777" w:rsidR="00545DC8" w:rsidRDefault="00545DC8" w:rsidP="00545DC8">
      <w:pPr>
        <w:spacing w:line="320" w:lineRule="auto"/>
        <w:jc w:val="left"/>
        <w:rPr>
          <w:rFonts w:cs="FrankRuehl"/>
          <w:szCs w:val="26"/>
        </w:rPr>
      </w:pPr>
      <w:r w:rsidRPr="00545DC8">
        <w:rPr>
          <w:rFonts w:cs="Miriam"/>
          <w:szCs w:val="22"/>
          <w:rtl/>
        </w:rPr>
        <w:t>רשויות ומשפט מנהלי</w:t>
      </w:r>
      <w:r w:rsidRPr="00545DC8">
        <w:rPr>
          <w:rFonts w:cs="FrankRuehl"/>
          <w:szCs w:val="26"/>
          <w:rtl/>
        </w:rPr>
        <w:t xml:space="preserve"> – תשתיות – ספנות ונמלים – רשות הספנות והנמלים</w:t>
      </w:r>
    </w:p>
    <w:p w14:paraId="5276A0C5" w14:textId="77777777" w:rsidR="00545DC8" w:rsidRDefault="00545DC8" w:rsidP="00545DC8">
      <w:pPr>
        <w:spacing w:line="320" w:lineRule="auto"/>
        <w:jc w:val="left"/>
        <w:rPr>
          <w:rFonts w:cs="FrankRuehl"/>
          <w:szCs w:val="26"/>
        </w:rPr>
      </w:pPr>
    </w:p>
    <w:p w14:paraId="2C028E65" w14:textId="77777777" w:rsidR="00545DC8" w:rsidRPr="00545DC8" w:rsidRDefault="00545DC8" w:rsidP="00545DC8">
      <w:pPr>
        <w:spacing w:line="320" w:lineRule="auto"/>
        <w:jc w:val="left"/>
        <w:rPr>
          <w:rFonts w:cs="Miriam"/>
          <w:szCs w:val="22"/>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0190" w14:paraId="7019D755" w14:textId="77777777">
        <w:tblPrEx>
          <w:tblCellMar>
            <w:top w:w="0" w:type="dxa"/>
            <w:bottom w:w="0" w:type="dxa"/>
          </w:tblCellMar>
        </w:tblPrEx>
        <w:trPr>
          <w:jc w:val="right"/>
        </w:trPr>
        <w:tc>
          <w:tcPr>
            <w:tcW w:w="850" w:type="dxa"/>
          </w:tcPr>
          <w:p w14:paraId="791D7096"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797517A9" w14:textId="77777777" w:rsidR="007B0190" w:rsidRDefault="007B0190">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14:paraId="1C19A143" w14:textId="77777777" w:rsidR="007B0190" w:rsidRDefault="007B0190">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14:paraId="1E4C4C5A"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7B0190" w14:paraId="2FE78B14" w14:textId="77777777">
        <w:tblPrEx>
          <w:tblCellMar>
            <w:top w:w="0" w:type="dxa"/>
            <w:bottom w:w="0" w:type="dxa"/>
          </w:tblCellMar>
        </w:tblPrEx>
        <w:trPr>
          <w:jc w:val="right"/>
        </w:trPr>
        <w:tc>
          <w:tcPr>
            <w:tcW w:w="850" w:type="dxa"/>
          </w:tcPr>
          <w:p w14:paraId="2A66D263"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5A1F934" w14:textId="77777777" w:rsidR="007B0190" w:rsidRDefault="007B0190">
            <w:pPr>
              <w:spacing w:line="240" w:lineRule="auto"/>
              <w:jc w:val="left"/>
              <w:rPr>
                <w:rStyle w:val="default"/>
                <w:rFonts w:cs="FrankRuehl" w:hint="cs"/>
                <w:sz w:val="24"/>
                <w:szCs w:val="24"/>
              </w:rPr>
            </w:pPr>
            <w:hyperlink w:anchor="Seif1" w:tooltip="מיטלטלין שהיו בשטח תפעולי של נמל" w:history="1">
              <w:r>
                <w:rPr>
                  <w:rStyle w:val="Hyperlink"/>
                </w:rPr>
                <w:t>Go</w:t>
              </w:r>
            </w:hyperlink>
          </w:p>
        </w:tc>
        <w:tc>
          <w:tcPr>
            <w:tcW w:w="5669" w:type="dxa"/>
          </w:tcPr>
          <w:p w14:paraId="71E2268A" w14:textId="77777777" w:rsidR="007B0190" w:rsidRDefault="007B0190">
            <w:pPr>
              <w:spacing w:line="240" w:lineRule="auto"/>
              <w:jc w:val="left"/>
              <w:rPr>
                <w:rStyle w:val="default"/>
                <w:rFonts w:cs="FrankRuehl"/>
                <w:sz w:val="24"/>
                <w:szCs w:val="24"/>
                <w:rtl/>
              </w:rPr>
            </w:pPr>
            <w:r>
              <w:rPr>
                <w:rStyle w:val="default"/>
                <w:rFonts w:cs="FrankRuehl"/>
                <w:sz w:val="24"/>
                <w:szCs w:val="24"/>
                <w:rtl/>
              </w:rPr>
              <w:t>מיטלטלין שהיו בשטח תפעולי של נמל</w:t>
            </w:r>
          </w:p>
        </w:tc>
        <w:tc>
          <w:tcPr>
            <w:tcW w:w="1247" w:type="dxa"/>
          </w:tcPr>
          <w:p w14:paraId="0BED767F"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7B0190" w14:paraId="33CBC381" w14:textId="77777777">
        <w:tblPrEx>
          <w:tblCellMar>
            <w:top w:w="0" w:type="dxa"/>
            <w:bottom w:w="0" w:type="dxa"/>
          </w:tblCellMar>
        </w:tblPrEx>
        <w:trPr>
          <w:jc w:val="right"/>
        </w:trPr>
        <w:tc>
          <w:tcPr>
            <w:tcW w:w="850" w:type="dxa"/>
          </w:tcPr>
          <w:p w14:paraId="60CF46CB"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0ADBD35C" w14:textId="77777777" w:rsidR="007B0190" w:rsidRDefault="007B0190">
            <w:pPr>
              <w:spacing w:line="240" w:lineRule="auto"/>
              <w:jc w:val="left"/>
              <w:rPr>
                <w:rStyle w:val="default"/>
                <w:rFonts w:cs="FrankRuehl" w:hint="cs"/>
                <w:sz w:val="24"/>
                <w:szCs w:val="24"/>
              </w:rPr>
            </w:pPr>
            <w:hyperlink w:anchor="Seif2" w:tooltip="מיטלטלין שלא היו בשטח תפעולי של נמל" w:history="1">
              <w:r>
                <w:rPr>
                  <w:rStyle w:val="Hyperlink"/>
                </w:rPr>
                <w:t>Go</w:t>
              </w:r>
            </w:hyperlink>
          </w:p>
        </w:tc>
        <w:tc>
          <w:tcPr>
            <w:tcW w:w="5669" w:type="dxa"/>
          </w:tcPr>
          <w:p w14:paraId="2E481C55" w14:textId="77777777" w:rsidR="007B0190" w:rsidRDefault="007B0190">
            <w:pPr>
              <w:spacing w:line="240" w:lineRule="auto"/>
              <w:jc w:val="left"/>
              <w:rPr>
                <w:rStyle w:val="default"/>
                <w:rFonts w:cs="FrankRuehl"/>
                <w:sz w:val="24"/>
                <w:szCs w:val="24"/>
                <w:rtl/>
              </w:rPr>
            </w:pPr>
            <w:r>
              <w:rPr>
                <w:rStyle w:val="default"/>
                <w:rFonts w:cs="FrankRuehl"/>
                <w:sz w:val="24"/>
                <w:szCs w:val="24"/>
                <w:rtl/>
              </w:rPr>
              <w:t>מיטלטלין שלא היו בשטח תפעולי של נמל</w:t>
            </w:r>
          </w:p>
        </w:tc>
        <w:tc>
          <w:tcPr>
            <w:tcW w:w="1247" w:type="dxa"/>
          </w:tcPr>
          <w:p w14:paraId="1F73AD4A"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7B0190" w14:paraId="14BFE00B" w14:textId="77777777">
        <w:tblPrEx>
          <w:tblCellMar>
            <w:top w:w="0" w:type="dxa"/>
            <w:bottom w:w="0" w:type="dxa"/>
          </w:tblCellMar>
        </w:tblPrEx>
        <w:trPr>
          <w:jc w:val="right"/>
        </w:trPr>
        <w:tc>
          <w:tcPr>
            <w:tcW w:w="850" w:type="dxa"/>
          </w:tcPr>
          <w:p w14:paraId="2B17FA9D"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51F62F34" w14:textId="77777777" w:rsidR="007B0190" w:rsidRDefault="007B0190">
            <w:pPr>
              <w:spacing w:line="240" w:lineRule="auto"/>
              <w:jc w:val="left"/>
              <w:rPr>
                <w:rStyle w:val="default"/>
                <w:rFonts w:cs="FrankRuehl" w:hint="cs"/>
                <w:sz w:val="24"/>
                <w:szCs w:val="24"/>
              </w:rPr>
            </w:pPr>
            <w:hyperlink w:anchor="Seif3" w:tooltip="קניין רוחני" w:history="1">
              <w:r>
                <w:rPr>
                  <w:rStyle w:val="Hyperlink"/>
                </w:rPr>
                <w:t>Go</w:t>
              </w:r>
            </w:hyperlink>
          </w:p>
        </w:tc>
        <w:tc>
          <w:tcPr>
            <w:tcW w:w="5669" w:type="dxa"/>
          </w:tcPr>
          <w:p w14:paraId="6C7DB362" w14:textId="77777777" w:rsidR="007B0190" w:rsidRDefault="007B0190">
            <w:pPr>
              <w:spacing w:line="240" w:lineRule="auto"/>
              <w:jc w:val="left"/>
              <w:rPr>
                <w:rStyle w:val="default"/>
                <w:rFonts w:cs="FrankRuehl"/>
                <w:sz w:val="24"/>
                <w:szCs w:val="24"/>
                <w:rtl/>
              </w:rPr>
            </w:pPr>
            <w:r>
              <w:rPr>
                <w:rStyle w:val="default"/>
                <w:rFonts w:cs="FrankRuehl"/>
                <w:sz w:val="24"/>
                <w:szCs w:val="24"/>
                <w:rtl/>
              </w:rPr>
              <w:t>קניין רוחני</w:t>
            </w:r>
          </w:p>
        </w:tc>
        <w:tc>
          <w:tcPr>
            <w:tcW w:w="1247" w:type="dxa"/>
          </w:tcPr>
          <w:p w14:paraId="2D579A1C"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7B0190" w14:paraId="5AE5C734" w14:textId="77777777">
        <w:tblPrEx>
          <w:tblCellMar>
            <w:top w:w="0" w:type="dxa"/>
            <w:bottom w:w="0" w:type="dxa"/>
          </w:tblCellMar>
        </w:tblPrEx>
        <w:trPr>
          <w:jc w:val="right"/>
        </w:trPr>
        <w:tc>
          <w:tcPr>
            <w:tcW w:w="850" w:type="dxa"/>
          </w:tcPr>
          <w:p w14:paraId="2002BE7F"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2452BFF7" w14:textId="77777777" w:rsidR="007B0190" w:rsidRDefault="007B0190">
            <w:pPr>
              <w:spacing w:line="240" w:lineRule="auto"/>
              <w:jc w:val="left"/>
              <w:rPr>
                <w:rStyle w:val="default"/>
                <w:rFonts w:cs="FrankRuehl" w:hint="cs"/>
                <w:sz w:val="24"/>
                <w:szCs w:val="24"/>
              </w:rPr>
            </w:pPr>
            <w:hyperlink w:anchor="Seif4" w:tooltip="תעודות וניירות ערך" w:history="1">
              <w:r>
                <w:rPr>
                  <w:rStyle w:val="Hyperlink"/>
                </w:rPr>
                <w:t>Go</w:t>
              </w:r>
            </w:hyperlink>
          </w:p>
        </w:tc>
        <w:tc>
          <w:tcPr>
            <w:tcW w:w="5669" w:type="dxa"/>
          </w:tcPr>
          <w:p w14:paraId="159B388E" w14:textId="77777777" w:rsidR="007B0190" w:rsidRDefault="007B0190">
            <w:pPr>
              <w:spacing w:line="240" w:lineRule="auto"/>
              <w:jc w:val="left"/>
              <w:rPr>
                <w:rStyle w:val="default"/>
                <w:rFonts w:cs="FrankRuehl"/>
                <w:sz w:val="24"/>
                <w:szCs w:val="24"/>
                <w:rtl/>
              </w:rPr>
            </w:pPr>
            <w:r>
              <w:rPr>
                <w:rStyle w:val="default"/>
                <w:rFonts w:cs="FrankRuehl"/>
                <w:sz w:val="24"/>
                <w:szCs w:val="24"/>
                <w:rtl/>
              </w:rPr>
              <w:t>תעודות וניירות ערך</w:t>
            </w:r>
          </w:p>
        </w:tc>
        <w:tc>
          <w:tcPr>
            <w:tcW w:w="1247" w:type="dxa"/>
          </w:tcPr>
          <w:p w14:paraId="7ED5608C"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7B0190" w14:paraId="614DFAE3" w14:textId="77777777">
        <w:tblPrEx>
          <w:tblCellMar>
            <w:top w:w="0" w:type="dxa"/>
            <w:bottom w:w="0" w:type="dxa"/>
          </w:tblCellMar>
        </w:tblPrEx>
        <w:trPr>
          <w:jc w:val="right"/>
        </w:trPr>
        <w:tc>
          <w:tcPr>
            <w:tcW w:w="850" w:type="dxa"/>
          </w:tcPr>
          <w:p w14:paraId="3C1808E8"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011A7F28" w14:textId="77777777" w:rsidR="007B0190" w:rsidRDefault="007B0190">
            <w:pPr>
              <w:spacing w:line="240" w:lineRule="auto"/>
              <w:jc w:val="left"/>
              <w:rPr>
                <w:rStyle w:val="default"/>
                <w:rFonts w:cs="FrankRuehl" w:hint="cs"/>
                <w:sz w:val="24"/>
                <w:szCs w:val="24"/>
              </w:rPr>
            </w:pPr>
            <w:hyperlink w:anchor="Seif5" w:tooltip="כספים" w:history="1">
              <w:r>
                <w:rPr>
                  <w:rStyle w:val="Hyperlink"/>
                </w:rPr>
                <w:t>Go</w:t>
              </w:r>
            </w:hyperlink>
          </w:p>
        </w:tc>
        <w:tc>
          <w:tcPr>
            <w:tcW w:w="5669" w:type="dxa"/>
          </w:tcPr>
          <w:p w14:paraId="708CD0F5" w14:textId="77777777" w:rsidR="007B0190" w:rsidRDefault="007B0190">
            <w:pPr>
              <w:spacing w:line="240" w:lineRule="auto"/>
              <w:jc w:val="left"/>
              <w:rPr>
                <w:rStyle w:val="default"/>
                <w:rFonts w:cs="FrankRuehl"/>
                <w:sz w:val="24"/>
                <w:szCs w:val="24"/>
                <w:rtl/>
              </w:rPr>
            </w:pPr>
            <w:r>
              <w:rPr>
                <w:rStyle w:val="default"/>
                <w:rFonts w:cs="FrankRuehl"/>
                <w:sz w:val="24"/>
                <w:szCs w:val="24"/>
                <w:rtl/>
              </w:rPr>
              <w:t>כספים</w:t>
            </w:r>
          </w:p>
        </w:tc>
        <w:tc>
          <w:tcPr>
            <w:tcW w:w="1247" w:type="dxa"/>
          </w:tcPr>
          <w:p w14:paraId="65394662"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7B0190" w14:paraId="1674CA22" w14:textId="77777777">
        <w:tblPrEx>
          <w:tblCellMar>
            <w:top w:w="0" w:type="dxa"/>
            <w:bottom w:w="0" w:type="dxa"/>
          </w:tblCellMar>
        </w:tblPrEx>
        <w:trPr>
          <w:jc w:val="right"/>
        </w:trPr>
        <w:tc>
          <w:tcPr>
            <w:tcW w:w="850" w:type="dxa"/>
          </w:tcPr>
          <w:p w14:paraId="079EB5C7"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6EB04891" w14:textId="77777777" w:rsidR="007B0190" w:rsidRDefault="007B0190">
            <w:pPr>
              <w:spacing w:line="240" w:lineRule="auto"/>
              <w:jc w:val="left"/>
              <w:rPr>
                <w:rStyle w:val="default"/>
                <w:rFonts w:cs="FrankRuehl" w:hint="cs"/>
                <w:sz w:val="24"/>
                <w:szCs w:val="24"/>
              </w:rPr>
            </w:pPr>
            <w:hyperlink w:anchor="Seif6" w:tooltip="רישיונות והיתרים" w:history="1">
              <w:r>
                <w:rPr>
                  <w:rStyle w:val="Hyperlink"/>
                </w:rPr>
                <w:t>Go</w:t>
              </w:r>
            </w:hyperlink>
          </w:p>
        </w:tc>
        <w:tc>
          <w:tcPr>
            <w:tcW w:w="5669" w:type="dxa"/>
          </w:tcPr>
          <w:p w14:paraId="7BDCC222" w14:textId="77777777" w:rsidR="007B0190" w:rsidRDefault="007B0190">
            <w:pPr>
              <w:spacing w:line="240" w:lineRule="auto"/>
              <w:jc w:val="left"/>
              <w:rPr>
                <w:rStyle w:val="default"/>
                <w:rFonts w:cs="FrankRuehl"/>
                <w:sz w:val="24"/>
                <w:szCs w:val="24"/>
                <w:rtl/>
              </w:rPr>
            </w:pPr>
            <w:r>
              <w:rPr>
                <w:rStyle w:val="default"/>
                <w:rFonts w:cs="FrankRuehl"/>
                <w:sz w:val="24"/>
                <w:szCs w:val="24"/>
                <w:rtl/>
              </w:rPr>
              <w:t>רישיונות והיתרים</w:t>
            </w:r>
          </w:p>
        </w:tc>
        <w:tc>
          <w:tcPr>
            <w:tcW w:w="1247" w:type="dxa"/>
          </w:tcPr>
          <w:p w14:paraId="5F107C13"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7B0190" w14:paraId="435FCCAF" w14:textId="77777777">
        <w:tblPrEx>
          <w:tblCellMar>
            <w:top w:w="0" w:type="dxa"/>
            <w:bottom w:w="0" w:type="dxa"/>
          </w:tblCellMar>
        </w:tblPrEx>
        <w:trPr>
          <w:jc w:val="right"/>
        </w:trPr>
        <w:tc>
          <w:tcPr>
            <w:tcW w:w="850" w:type="dxa"/>
          </w:tcPr>
          <w:p w14:paraId="197B3D0A"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27E17570" w14:textId="77777777" w:rsidR="007B0190" w:rsidRDefault="007B0190">
            <w:pPr>
              <w:spacing w:line="240" w:lineRule="auto"/>
              <w:jc w:val="left"/>
              <w:rPr>
                <w:rStyle w:val="default"/>
                <w:rFonts w:cs="FrankRuehl" w:hint="cs"/>
                <w:sz w:val="24"/>
                <w:szCs w:val="24"/>
              </w:rPr>
            </w:pPr>
            <w:hyperlink w:anchor="Seif7" w:tooltip="נכסים נוספים" w:history="1">
              <w:r>
                <w:rPr>
                  <w:rStyle w:val="Hyperlink"/>
                </w:rPr>
                <w:t>Go</w:t>
              </w:r>
            </w:hyperlink>
          </w:p>
        </w:tc>
        <w:tc>
          <w:tcPr>
            <w:tcW w:w="5669" w:type="dxa"/>
          </w:tcPr>
          <w:p w14:paraId="0F630423" w14:textId="77777777" w:rsidR="007B0190" w:rsidRDefault="007B0190">
            <w:pPr>
              <w:spacing w:line="240" w:lineRule="auto"/>
              <w:jc w:val="left"/>
              <w:rPr>
                <w:rStyle w:val="default"/>
                <w:rFonts w:cs="FrankRuehl"/>
                <w:sz w:val="24"/>
                <w:szCs w:val="24"/>
                <w:rtl/>
              </w:rPr>
            </w:pPr>
            <w:r>
              <w:rPr>
                <w:rStyle w:val="default"/>
                <w:rFonts w:cs="FrankRuehl"/>
                <w:sz w:val="24"/>
                <w:szCs w:val="24"/>
                <w:rtl/>
              </w:rPr>
              <w:t>נכסים נוספים</w:t>
            </w:r>
          </w:p>
        </w:tc>
        <w:tc>
          <w:tcPr>
            <w:tcW w:w="1247" w:type="dxa"/>
          </w:tcPr>
          <w:p w14:paraId="64A259E7"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8 </w:t>
            </w:r>
          </w:p>
        </w:tc>
      </w:tr>
      <w:tr w:rsidR="007B0190" w14:paraId="3CE0B9B3" w14:textId="77777777">
        <w:tblPrEx>
          <w:tblCellMar>
            <w:top w:w="0" w:type="dxa"/>
            <w:bottom w:w="0" w:type="dxa"/>
          </w:tblCellMar>
        </w:tblPrEx>
        <w:trPr>
          <w:jc w:val="right"/>
        </w:trPr>
        <w:tc>
          <w:tcPr>
            <w:tcW w:w="850" w:type="dxa"/>
          </w:tcPr>
          <w:p w14:paraId="4D3C2047"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16AF214E" w14:textId="77777777" w:rsidR="007B0190" w:rsidRDefault="007B0190">
            <w:pPr>
              <w:spacing w:line="240" w:lineRule="auto"/>
              <w:jc w:val="left"/>
              <w:rPr>
                <w:rStyle w:val="default"/>
                <w:rFonts w:cs="FrankRuehl" w:hint="cs"/>
                <w:sz w:val="24"/>
                <w:szCs w:val="24"/>
              </w:rPr>
            </w:pPr>
            <w:hyperlink w:anchor="Seif8" w:tooltip="תמורה" w:history="1">
              <w:r>
                <w:rPr>
                  <w:rStyle w:val="Hyperlink"/>
                </w:rPr>
                <w:t>Go</w:t>
              </w:r>
            </w:hyperlink>
          </w:p>
        </w:tc>
        <w:tc>
          <w:tcPr>
            <w:tcW w:w="5669" w:type="dxa"/>
          </w:tcPr>
          <w:p w14:paraId="579D7B2F" w14:textId="77777777" w:rsidR="007B0190" w:rsidRDefault="007B0190">
            <w:pPr>
              <w:spacing w:line="240" w:lineRule="auto"/>
              <w:jc w:val="left"/>
              <w:rPr>
                <w:rStyle w:val="default"/>
                <w:rFonts w:cs="FrankRuehl"/>
                <w:sz w:val="24"/>
                <w:szCs w:val="24"/>
                <w:rtl/>
              </w:rPr>
            </w:pPr>
            <w:r>
              <w:rPr>
                <w:rStyle w:val="default"/>
                <w:rFonts w:cs="FrankRuehl"/>
                <w:sz w:val="24"/>
                <w:szCs w:val="24"/>
                <w:rtl/>
              </w:rPr>
              <w:t>תמורה</w:t>
            </w:r>
          </w:p>
        </w:tc>
        <w:tc>
          <w:tcPr>
            <w:tcW w:w="1247" w:type="dxa"/>
          </w:tcPr>
          <w:p w14:paraId="4F8BAFB6"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9 </w:t>
            </w:r>
          </w:p>
        </w:tc>
      </w:tr>
      <w:tr w:rsidR="007B0190" w14:paraId="08471368" w14:textId="77777777">
        <w:tblPrEx>
          <w:tblCellMar>
            <w:top w:w="0" w:type="dxa"/>
            <w:bottom w:w="0" w:type="dxa"/>
          </w:tblCellMar>
        </w:tblPrEx>
        <w:trPr>
          <w:jc w:val="right"/>
        </w:trPr>
        <w:tc>
          <w:tcPr>
            <w:tcW w:w="850" w:type="dxa"/>
          </w:tcPr>
          <w:p w14:paraId="1440E70A"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18EC2A66" w14:textId="77777777" w:rsidR="007B0190" w:rsidRDefault="007B0190">
            <w:pPr>
              <w:spacing w:line="240" w:lineRule="auto"/>
              <w:jc w:val="left"/>
              <w:rPr>
                <w:rStyle w:val="default"/>
                <w:rFonts w:cs="FrankRuehl" w:hint="cs"/>
                <w:sz w:val="24"/>
                <w:szCs w:val="24"/>
              </w:rPr>
            </w:pPr>
            <w:hyperlink w:anchor="Seif9" w:tooltip="תחילה" w:history="1">
              <w:r>
                <w:rPr>
                  <w:rStyle w:val="Hyperlink"/>
                </w:rPr>
                <w:t>Go</w:t>
              </w:r>
            </w:hyperlink>
          </w:p>
        </w:tc>
        <w:tc>
          <w:tcPr>
            <w:tcW w:w="5669" w:type="dxa"/>
          </w:tcPr>
          <w:p w14:paraId="372354A3" w14:textId="77777777" w:rsidR="007B0190" w:rsidRDefault="007B0190">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14:paraId="6172B2ED" w14:textId="77777777" w:rsidR="007B0190" w:rsidRDefault="007B0190">
            <w:pPr>
              <w:spacing w:line="240" w:lineRule="auto"/>
              <w:jc w:val="left"/>
              <w:rPr>
                <w:rStyle w:val="default"/>
                <w:rFonts w:cs="FrankRuehl" w:hint="cs"/>
                <w:sz w:val="24"/>
                <w:szCs w:val="24"/>
              </w:rPr>
            </w:pPr>
            <w:r>
              <w:rPr>
                <w:rStyle w:val="default"/>
                <w:rFonts w:cs="FrankRuehl"/>
                <w:sz w:val="24"/>
                <w:szCs w:val="24"/>
                <w:rtl/>
              </w:rPr>
              <w:t xml:space="preserve">סעיף 10 </w:t>
            </w:r>
          </w:p>
        </w:tc>
      </w:tr>
    </w:tbl>
    <w:p w14:paraId="29C02013" w14:textId="77777777" w:rsidR="007B0190" w:rsidRDefault="007B0190">
      <w:pPr>
        <w:pStyle w:val="P00"/>
        <w:spacing w:before="72"/>
        <w:ind w:left="0" w:right="1134"/>
        <w:rPr>
          <w:rStyle w:val="default"/>
          <w:rFonts w:cs="FrankRuehl" w:hint="cs"/>
          <w:rtl/>
        </w:rPr>
      </w:pPr>
    </w:p>
    <w:p w14:paraId="4A9B4195" w14:textId="77777777" w:rsidR="007B0190" w:rsidRDefault="007B0190" w:rsidP="00545DC8">
      <w:pPr>
        <w:pStyle w:val="big-header"/>
        <w:ind w:left="0" w:right="1134"/>
        <w:rPr>
          <w:rFonts w:hint="cs"/>
          <w:rtl/>
        </w:rPr>
      </w:pPr>
      <w:r>
        <w:rPr>
          <w:rStyle w:val="default"/>
          <w:rFonts w:cs="FrankRuehl"/>
          <w:rtl/>
        </w:rPr>
        <w:br w:type="page"/>
      </w:r>
      <w:r>
        <w:rPr>
          <w:rFonts w:hint="cs"/>
          <w:rtl/>
        </w:rPr>
        <w:lastRenderedPageBreak/>
        <w:t>צו רשות הספנות והנמלים (העברת זכויות בנכסים שאינם מקרקעין)</w:t>
      </w:r>
      <w:r>
        <w:rPr>
          <w:rtl/>
        </w:rPr>
        <w:t xml:space="preserve">, </w:t>
      </w:r>
      <w:r>
        <w:rPr>
          <w:rFonts w:hint="cs"/>
          <w:rtl/>
        </w:rPr>
        <w:br/>
      </w:r>
      <w:r>
        <w:rPr>
          <w:rtl/>
        </w:rPr>
        <w:t>תשס"</w:t>
      </w:r>
      <w:r>
        <w:rPr>
          <w:rFonts w:hint="cs"/>
          <w:rtl/>
        </w:rPr>
        <w:t>ה</w:t>
      </w:r>
      <w:r>
        <w:rPr>
          <w:rtl/>
        </w:rPr>
        <w:t>-200</w:t>
      </w:r>
      <w:r>
        <w:rPr>
          <w:rFonts w:hint="cs"/>
          <w:rtl/>
        </w:rPr>
        <w:t>5</w:t>
      </w:r>
      <w:r>
        <w:rPr>
          <w:rStyle w:val="default"/>
          <w:sz w:val="22"/>
          <w:szCs w:val="22"/>
          <w:rtl/>
        </w:rPr>
        <w:footnoteReference w:customMarkFollows="1" w:id="1"/>
        <w:t>*</w:t>
      </w:r>
    </w:p>
    <w:p w14:paraId="412FD250"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בתוקף סמכותנו לפי סעיף 53(ב)(2) לחוק רשות הספנות והנמלים, התשס"ד-2004 (להלן </w:t>
      </w:r>
      <w:r>
        <w:rPr>
          <w:rStyle w:val="default"/>
          <w:rFonts w:cs="FrankRuehl"/>
          <w:rtl/>
        </w:rPr>
        <w:t>–</w:t>
      </w:r>
      <w:r>
        <w:rPr>
          <w:rStyle w:val="default"/>
          <w:rFonts w:cs="FrankRuehl" w:hint="cs"/>
          <w:rtl/>
        </w:rPr>
        <w:t xml:space="preserve"> החוק), אנו מצווים לאמור:</w:t>
      </w:r>
    </w:p>
    <w:p w14:paraId="62A41117" w14:textId="77777777" w:rsidR="007B0190" w:rsidRDefault="007B0190">
      <w:pPr>
        <w:pStyle w:val="P00"/>
        <w:spacing w:before="72"/>
        <w:ind w:left="0" w:right="1134"/>
        <w:rPr>
          <w:rStyle w:val="default"/>
          <w:rFonts w:cs="FrankRuehl" w:hint="cs"/>
          <w:rtl/>
        </w:rPr>
      </w:pPr>
      <w:bookmarkStart w:id="0" w:name="Seif0"/>
      <w:bookmarkEnd w:id="0"/>
      <w:r>
        <w:rPr>
          <w:lang w:val="he-IL"/>
        </w:rPr>
        <w:pict w14:anchorId="76596E39">
          <v:rect id="_x0000_s1026" style="position:absolute;left:0;text-align:left;margin-left:464.35pt;margin-top:7.1pt;width:75.05pt;height:10.2pt;z-index:251653120" o:allowincell="f" filled="f" stroked="f" strokecolor="lime" strokeweight=".25pt">
            <v:textbox inset="1mm,0,1mm,0">
              <w:txbxContent>
                <w:p w14:paraId="769619BD" w14:textId="77777777" w:rsidR="007B0190" w:rsidRDefault="007B019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14:paraId="4B308AE1"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"השטח התפעולי של נמל אילת" </w:t>
      </w:r>
      <w:r>
        <w:rPr>
          <w:rStyle w:val="default"/>
          <w:rFonts w:cs="FrankRuehl"/>
          <w:rtl/>
        </w:rPr>
        <w:t>–</w:t>
      </w:r>
      <w:r>
        <w:rPr>
          <w:rStyle w:val="default"/>
          <w:rFonts w:cs="FrankRuehl" w:hint="cs"/>
          <w:rtl/>
        </w:rPr>
        <w:t xml:space="preserve"> השטח שבו הוסמכה חברת נמל אילת בע"מ להפעיל את נמל אילת, כפי שנקבע בכתב ההסמכה שלה לפי סעיף 10(א) לחוק;</w:t>
      </w:r>
    </w:p>
    <w:p w14:paraId="204CA651"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w:t>
      </w:r>
      <w:r>
        <w:rPr>
          <w:rStyle w:val="default"/>
          <w:rFonts w:cs="FrankRuehl"/>
          <w:rtl/>
        </w:rPr>
        <w:t>–</w:t>
      </w:r>
      <w:r>
        <w:rPr>
          <w:rStyle w:val="default"/>
          <w:rFonts w:cs="FrankRuehl" w:hint="cs"/>
          <w:rtl/>
        </w:rPr>
        <w:t xml:space="preserve"> פיתוח ונכסים בע"מ, שהסמכנו לפי סעיף 9(א) לחוק להיות חברת הפיתוח והנכסים;</w:t>
      </w:r>
    </w:p>
    <w:p w14:paraId="37953D54"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"חברת נמל אילת" </w:t>
      </w:r>
      <w:r>
        <w:rPr>
          <w:rStyle w:val="default"/>
          <w:rFonts w:cs="FrankRuehl"/>
          <w:rtl/>
        </w:rPr>
        <w:t>–</w:t>
      </w:r>
      <w:r>
        <w:rPr>
          <w:rStyle w:val="default"/>
          <w:rFonts w:cs="FrankRuehl" w:hint="cs"/>
          <w:rtl/>
        </w:rPr>
        <w:t xml:space="preserve"> חברת נמל אילת בע"מ, שהוסמכה לפי סעיף 10(א) לחוק להיות חברת נמל לענין נמל אילת;</w:t>
      </w:r>
    </w:p>
    <w:p w14:paraId="735E996D"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"חברת נמל אשדוד" </w:t>
      </w:r>
      <w:r>
        <w:rPr>
          <w:rStyle w:val="default"/>
          <w:rFonts w:cs="FrankRuehl"/>
          <w:rtl/>
        </w:rPr>
        <w:t>–</w:t>
      </w:r>
      <w:r>
        <w:rPr>
          <w:rStyle w:val="default"/>
          <w:rFonts w:cs="FrankRuehl" w:hint="cs"/>
          <w:rtl/>
        </w:rPr>
        <w:t xml:space="preserve"> חברת נמל אשדוד בע"מ, שהוסמכה לפי סעיף 10(א) לחוק להיות חברת נמל לענין נמל אשדוד;</w:t>
      </w:r>
    </w:p>
    <w:p w14:paraId="0F30E99B"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"חברת נמל חיפה" </w:t>
      </w:r>
      <w:r>
        <w:rPr>
          <w:rStyle w:val="default"/>
          <w:rFonts w:cs="FrankRuehl"/>
          <w:rtl/>
        </w:rPr>
        <w:t>–</w:t>
      </w:r>
      <w:r>
        <w:rPr>
          <w:rStyle w:val="default"/>
          <w:rFonts w:cs="FrankRuehl" w:hint="cs"/>
          <w:rtl/>
        </w:rPr>
        <w:t xml:space="preserve"> חברת נמל חיפה בע"מ, שהוסמכה לפי סעיף 10(א) לחוק להיות חברת נמל לענין נמל חיפה;</w:t>
      </w:r>
    </w:p>
    <w:p w14:paraId="627E8E49"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נכס שהיה של רשות הנמלים ערב יום התחילה, ואשר עבר לקניין המדינה לפי סעיף 51(א) לחוק;</w:t>
      </w:r>
    </w:p>
    <w:p w14:paraId="2C258274"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נמל מהנמלים המנויים בתוספת השניה לחוק;</w:t>
      </w:r>
    </w:p>
    <w:p w14:paraId="360A6040"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"שטח תפעולי של נמל" </w:t>
      </w:r>
      <w:r>
        <w:rPr>
          <w:rStyle w:val="default"/>
          <w:rFonts w:cs="FrankRuehl"/>
          <w:rtl/>
        </w:rPr>
        <w:t>–</w:t>
      </w:r>
      <w:r>
        <w:rPr>
          <w:rStyle w:val="default"/>
          <w:rFonts w:cs="FrankRuehl" w:hint="cs"/>
          <w:rtl/>
        </w:rPr>
        <w:t xml:space="preserve"> השטח התפעולי של נמל אשדוד או השטח התפעולי של נמל חיפה כהגדרתם בסעיף 57(א) לחוק, או השטח התפעולי של נמל אילת;</w:t>
      </w:r>
    </w:p>
    <w:p w14:paraId="471B555C" w14:textId="77777777" w:rsidR="007B0190" w:rsidRDefault="007B0190">
      <w:pPr>
        <w:pStyle w:val="P00"/>
        <w:spacing w:before="72"/>
        <w:ind w:left="0" w:right="1134"/>
        <w:rPr>
          <w:rStyle w:val="default"/>
          <w:rFonts w:cs="FrankRuehl" w:hint="cs"/>
          <w:rtl/>
        </w:rPr>
      </w:pPr>
      <w:r>
        <w:rPr>
          <w:rStyle w:val="default"/>
          <w:rFonts w:cs="FrankRuehl" w:hint="cs"/>
          <w:rtl/>
        </w:rPr>
        <w:tab/>
        <w:t xml:space="preserve">"תאגיד נמלי" </w:t>
      </w:r>
      <w:r>
        <w:rPr>
          <w:rStyle w:val="default"/>
          <w:rFonts w:cs="FrankRuehl"/>
          <w:rtl/>
        </w:rPr>
        <w:t>–</w:t>
      </w:r>
      <w:r>
        <w:rPr>
          <w:rStyle w:val="default"/>
          <w:rFonts w:cs="FrankRuehl" w:hint="cs"/>
          <w:rtl/>
        </w:rPr>
        <w:t xml:space="preserve"> חברת הפיתוח והנכסים או חברת נמל.</w:t>
      </w:r>
    </w:p>
    <w:p w14:paraId="7EA689A7" w14:textId="77777777" w:rsidR="007B0190" w:rsidRDefault="007B0190">
      <w:pPr>
        <w:pStyle w:val="P00"/>
        <w:spacing w:before="72"/>
        <w:ind w:left="0" w:right="1134"/>
        <w:rPr>
          <w:rStyle w:val="default"/>
          <w:rFonts w:cs="FrankRuehl" w:hint="cs"/>
          <w:rtl/>
        </w:rPr>
      </w:pPr>
      <w:bookmarkStart w:id="1" w:name="Seif1"/>
      <w:bookmarkEnd w:id="1"/>
      <w:r>
        <w:rPr>
          <w:lang w:val="he-IL"/>
        </w:rPr>
        <w:pict w14:anchorId="5FE680C2">
          <v:rect id="_x0000_s1040" style="position:absolute;left:0;text-align:left;margin-left:462pt;margin-top:7.1pt;width:77.4pt;height:26.85pt;z-index:251654144" o:allowincell="f" filled="f" stroked="f" strokecolor="lime" strokeweight=".25pt">
            <v:textbox inset="1mm,0,1mm,0">
              <w:txbxContent>
                <w:p w14:paraId="7950430A" w14:textId="77777777" w:rsidR="007B0190" w:rsidRDefault="007B0190">
                  <w:pPr>
                    <w:spacing w:line="160" w:lineRule="exact"/>
                    <w:jc w:val="left"/>
                    <w:rPr>
                      <w:rFonts w:cs="Miriam" w:hint="cs"/>
                      <w:noProof/>
                      <w:szCs w:val="18"/>
                      <w:rtl/>
                    </w:rPr>
                  </w:pPr>
                  <w:r>
                    <w:rPr>
                      <w:rFonts w:cs="Miriam" w:hint="cs"/>
                      <w:szCs w:val="18"/>
                      <w:rtl/>
                    </w:rPr>
                    <w:t>מיטלטלין שהיו בשטח תפעולי של נמל</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זכויות במיטלטלין שביום התחילה היו בשטח תפעולי של נמל </w:t>
      </w:r>
      <w:r>
        <w:rPr>
          <w:rStyle w:val="default"/>
          <w:rFonts w:cs="FrankRuehl"/>
          <w:rtl/>
        </w:rPr>
        <w:t>–</w:t>
      </w:r>
      <w:r>
        <w:rPr>
          <w:rStyle w:val="default"/>
          <w:rFonts w:cs="FrankRuehl" w:hint="cs"/>
          <w:rtl/>
        </w:rPr>
        <w:t xml:space="preserve"> מועברות בזה לחברת הנמל שהוסמכה להפעיל נמל בשטח זה; נקבע צו לפי סעיף 52(ב) או (ג) לחוק </w:t>
      </w:r>
      <w:r>
        <w:rPr>
          <w:rStyle w:val="default"/>
          <w:rFonts w:cs="FrankRuehl"/>
          <w:rtl/>
        </w:rPr>
        <w:t>–</w:t>
      </w:r>
      <w:r>
        <w:rPr>
          <w:rStyle w:val="default"/>
          <w:rFonts w:cs="FrankRuehl" w:hint="cs"/>
          <w:rtl/>
        </w:rPr>
        <w:t xml:space="preserve"> יועברו למדינה כל הזכויות במיטלטלין שביום התחילה היו במקרקעין שנקבעו בצו כאמור.</w:t>
      </w:r>
    </w:p>
    <w:p w14:paraId="55FBC6B3" w14:textId="77777777" w:rsidR="007B0190" w:rsidRDefault="007B0190">
      <w:pPr>
        <w:pStyle w:val="P00"/>
        <w:spacing w:before="72"/>
        <w:ind w:left="0" w:right="1134"/>
        <w:rPr>
          <w:rStyle w:val="default"/>
          <w:rFonts w:cs="FrankRuehl" w:hint="cs"/>
          <w:rtl/>
        </w:rPr>
      </w:pPr>
      <w:bookmarkStart w:id="2" w:name="Seif2"/>
      <w:bookmarkEnd w:id="2"/>
      <w:r>
        <w:rPr>
          <w:lang w:val="he-IL"/>
        </w:rPr>
        <w:pict w14:anchorId="28E67CA7">
          <v:rect id="_x0000_s1083" style="position:absolute;left:0;text-align:left;margin-left:462pt;margin-top:7.1pt;width:77.4pt;height:25.7pt;z-index:251655168" filled="f" stroked="f" strokecolor="lime" strokeweight=".25pt">
            <v:textbox inset="1mm,0,1mm,0">
              <w:txbxContent>
                <w:p w14:paraId="1C709292" w14:textId="77777777" w:rsidR="007B0190" w:rsidRDefault="007B0190">
                  <w:pPr>
                    <w:spacing w:line="160" w:lineRule="exact"/>
                    <w:jc w:val="left"/>
                    <w:rPr>
                      <w:rFonts w:cs="Miriam" w:hint="cs"/>
                      <w:noProof/>
                      <w:szCs w:val="18"/>
                      <w:rtl/>
                    </w:rPr>
                  </w:pPr>
                  <w:r>
                    <w:rPr>
                      <w:rFonts w:cs="Miriam" w:hint="cs"/>
                      <w:szCs w:val="18"/>
                      <w:rtl/>
                    </w:rPr>
                    <w:t>מיטלטלין שלא היו בשטח תפעולי של נמל</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לענין מיטלטלין שביום התחילה לא היו בשטח תפעולי של נמל יחולו הוראות כלהלן:</w:t>
      </w:r>
    </w:p>
    <w:p w14:paraId="3702A4C2" w14:textId="77777777" w:rsidR="007B0190" w:rsidRDefault="007B01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זכויות במיטלטלין אשר ביום התחילה שימשו בעיקר נמל </w:t>
      </w:r>
      <w:r>
        <w:rPr>
          <w:rStyle w:val="default"/>
          <w:rFonts w:cs="FrankRuehl"/>
          <w:rtl/>
        </w:rPr>
        <w:t>–</w:t>
      </w:r>
      <w:r>
        <w:rPr>
          <w:rStyle w:val="default"/>
          <w:rFonts w:cs="FrankRuehl" w:hint="cs"/>
          <w:rtl/>
        </w:rPr>
        <w:t xml:space="preserve"> מועברות בזה לחברת הנמל שהוסמכה להפעיל את הנמל האמור;</w:t>
      </w:r>
    </w:p>
    <w:p w14:paraId="7B77773F" w14:textId="77777777" w:rsidR="007B0190" w:rsidRDefault="007B01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זכויות במיטלטלין אשר ערב יום התחילה שימשו בעיקר עובד רשות הנמלים, שעבד בנמל </w:t>
      </w:r>
      <w:r>
        <w:rPr>
          <w:rStyle w:val="default"/>
          <w:rFonts w:cs="FrankRuehl"/>
          <w:rtl/>
        </w:rPr>
        <w:t>–</w:t>
      </w:r>
      <w:r>
        <w:rPr>
          <w:rStyle w:val="default"/>
          <w:rFonts w:cs="FrankRuehl" w:hint="cs"/>
          <w:rtl/>
        </w:rPr>
        <w:t xml:space="preserve"> מועברות בזה לחברת הנמל שהוסמכה להפעיל את הנמל האמור.</w:t>
      </w:r>
    </w:p>
    <w:p w14:paraId="3126A4BF" w14:textId="77777777" w:rsidR="007B0190" w:rsidRDefault="007B0190">
      <w:pPr>
        <w:pStyle w:val="P00"/>
        <w:spacing w:before="72"/>
        <w:ind w:left="0" w:right="1134"/>
        <w:rPr>
          <w:rStyle w:val="default"/>
          <w:rFonts w:cs="FrankRuehl" w:hint="cs"/>
          <w:rtl/>
        </w:rPr>
      </w:pPr>
      <w:bookmarkStart w:id="3" w:name="Seif3"/>
      <w:bookmarkEnd w:id="3"/>
      <w:r>
        <w:rPr>
          <w:lang w:val="he-IL"/>
        </w:rPr>
        <w:pict w14:anchorId="2D48D4E8">
          <v:rect id="_x0000_s1084" style="position:absolute;left:0;text-align:left;margin-left:464.35pt;margin-top:7.1pt;width:75.05pt;height:8.2pt;z-index:251656192" o:allowincell="f" filled="f" stroked="f" strokecolor="lime" strokeweight=".25pt">
            <v:textbox inset="1mm,0,1mm,0">
              <w:txbxContent>
                <w:p w14:paraId="322FA252" w14:textId="77777777" w:rsidR="007B0190" w:rsidRDefault="007B0190">
                  <w:pPr>
                    <w:spacing w:line="160" w:lineRule="exact"/>
                    <w:jc w:val="left"/>
                    <w:rPr>
                      <w:rFonts w:cs="Miriam" w:hint="cs"/>
                      <w:noProof/>
                      <w:szCs w:val="18"/>
                      <w:rtl/>
                    </w:rPr>
                  </w:pPr>
                  <w:r>
                    <w:rPr>
                      <w:rFonts w:cs="Miriam" w:hint="cs"/>
                      <w:szCs w:val="18"/>
                      <w:rtl/>
                    </w:rPr>
                    <w:t>קניין רוחני</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 xml:space="preserve">זכויות בנכס שהוא זכויות יוצרים בתוכנת מחשב </w:t>
      </w:r>
      <w:r>
        <w:rPr>
          <w:rStyle w:val="default"/>
          <w:rFonts w:cs="FrankRuehl"/>
          <w:rtl/>
        </w:rPr>
        <w:t>–</w:t>
      </w:r>
      <w:r>
        <w:rPr>
          <w:rStyle w:val="default"/>
          <w:rFonts w:cs="FrankRuehl" w:hint="cs"/>
          <w:rtl/>
        </w:rPr>
        <w:t xml:space="preserve"> מועברות בזה לחברת הפיתוח והנכסים, ואולם, לכל חברת נמל תהא זכות שימוש בזכויות אלה.</w:t>
      </w:r>
    </w:p>
    <w:p w14:paraId="328B0CC7" w14:textId="77777777" w:rsidR="007B0190" w:rsidRDefault="007B0190">
      <w:pPr>
        <w:pStyle w:val="P00"/>
        <w:spacing w:before="72"/>
        <w:ind w:left="0" w:right="1134"/>
        <w:rPr>
          <w:rStyle w:val="default"/>
          <w:rFonts w:cs="FrankRuehl" w:hint="cs"/>
          <w:rtl/>
        </w:rPr>
      </w:pPr>
      <w:bookmarkStart w:id="4" w:name="Seif4"/>
      <w:bookmarkEnd w:id="4"/>
      <w:r>
        <w:rPr>
          <w:lang w:val="he-IL"/>
        </w:rPr>
        <w:pict w14:anchorId="5E1C91A2">
          <v:rect id="_x0000_s1085" style="position:absolute;left:0;text-align:left;margin-left:464.35pt;margin-top:7.1pt;width:75.05pt;height:7.1pt;z-index:251657216" o:allowincell="f" filled="f" stroked="f" strokecolor="lime" strokeweight=".25pt">
            <v:textbox inset="1mm,0,1mm,0">
              <w:txbxContent>
                <w:p w14:paraId="7049DCDF" w14:textId="77777777" w:rsidR="007B0190" w:rsidRDefault="007B0190">
                  <w:pPr>
                    <w:pStyle w:val="2"/>
                    <w:rPr>
                      <w:rFonts w:hint="cs"/>
                      <w:noProof/>
                      <w:rtl/>
                    </w:rPr>
                  </w:pPr>
                  <w:r>
                    <w:rPr>
                      <w:rFonts w:hint="cs"/>
                      <w:rtl/>
                    </w:rPr>
                    <w:t>תעודות וניירות ערך</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 xml:space="preserve">זכויות נכס שהוא תעודות וניירות ערך, למעט הנכסים המפורטים בתוספת הראשונה </w:t>
      </w:r>
      <w:r>
        <w:rPr>
          <w:rStyle w:val="default"/>
          <w:rFonts w:cs="FrankRuehl"/>
          <w:rtl/>
        </w:rPr>
        <w:t>–</w:t>
      </w:r>
      <w:r>
        <w:rPr>
          <w:rStyle w:val="default"/>
          <w:rFonts w:cs="FrankRuehl" w:hint="cs"/>
          <w:rtl/>
        </w:rPr>
        <w:t xml:space="preserve"> מועברות בזה לחברת הפיתוח והנכסים.</w:t>
      </w:r>
    </w:p>
    <w:p w14:paraId="1B75FC85" w14:textId="77777777" w:rsidR="007B0190" w:rsidRDefault="007B0190">
      <w:pPr>
        <w:pStyle w:val="P00"/>
        <w:spacing w:before="72"/>
        <w:ind w:left="0" w:right="1134"/>
        <w:rPr>
          <w:rStyle w:val="default"/>
          <w:rFonts w:cs="FrankRuehl" w:hint="cs"/>
          <w:rtl/>
        </w:rPr>
      </w:pPr>
      <w:bookmarkStart w:id="5" w:name="Seif5"/>
      <w:bookmarkEnd w:id="5"/>
      <w:r>
        <w:rPr>
          <w:lang w:val="he-IL"/>
        </w:rPr>
        <w:pict w14:anchorId="090BED64">
          <v:rect id="_x0000_s1086" style="position:absolute;left:0;text-align:left;margin-left:464.35pt;margin-top:7.1pt;width:75.05pt;height:10pt;z-index:251658240" o:allowincell="f" filled="f" stroked="f" strokecolor="lime" strokeweight=".25pt">
            <v:textbox inset="1mm,0,1mm,0">
              <w:txbxContent>
                <w:p w14:paraId="4C6FD403" w14:textId="77777777" w:rsidR="007B0190" w:rsidRDefault="007B0190">
                  <w:pPr>
                    <w:spacing w:line="160" w:lineRule="exact"/>
                    <w:jc w:val="left"/>
                    <w:rPr>
                      <w:rFonts w:cs="Miriam" w:hint="cs"/>
                      <w:noProof/>
                      <w:szCs w:val="18"/>
                      <w:rtl/>
                    </w:rPr>
                  </w:pPr>
                  <w:r>
                    <w:rPr>
                      <w:rFonts w:cs="Miriam" w:hint="cs"/>
                      <w:szCs w:val="18"/>
                      <w:rtl/>
                    </w:rPr>
                    <w:t>כספים</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נכס שהוא כספים מועבר בזה כלהלן:</w:t>
      </w:r>
    </w:p>
    <w:p w14:paraId="18654612" w14:textId="77777777" w:rsidR="007B0190" w:rsidRDefault="007B01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2,214,000 שקלים חדשים </w:t>
      </w:r>
      <w:r>
        <w:rPr>
          <w:rStyle w:val="default"/>
          <w:rFonts w:cs="FrankRuehl"/>
          <w:rtl/>
        </w:rPr>
        <w:t>–</w:t>
      </w:r>
      <w:r>
        <w:rPr>
          <w:rStyle w:val="default"/>
          <w:rFonts w:cs="FrankRuehl" w:hint="cs"/>
          <w:rtl/>
        </w:rPr>
        <w:t xml:space="preserve"> לחברת נמל אילת;</w:t>
      </w:r>
    </w:p>
    <w:p w14:paraId="003DEC85" w14:textId="77777777" w:rsidR="007B0190" w:rsidRDefault="007B01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59,105,000 שקלים חדשים </w:t>
      </w:r>
      <w:r>
        <w:rPr>
          <w:rStyle w:val="default"/>
          <w:rFonts w:cs="FrankRuehl"/>
          <w:rtl/>
        </w:rPr>
        <w:t>–</w:t>
      </w:r>
      <w:r>
        <w:rPr>
          <w:rStyle w:val="default"/>
          <w:rFonts w:cs="FrankRuehl" w:hint="cs"/>
          <w:rtl/>
        </w:rPr>
        <w:t xml:space="preserve"> לחברת נמל אשדוד;</w:t>
      </w:r>
    </w:p>
    <w:p w14:paraId="62A764D5" w14:textId="77777777" w:rsidR="007B0190" w:rsidRDefault="007B01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41,558,000 שקלים חדשים </w:t>
      </w:r>
      <w:r>
        <w:rPr>
          <w:rStyle w:val="default"/>
          <w:rFonts w:cs="FrankRuehl"/>
          <w:rtl/>
        </w:rPr>
        <w:t>–</w:t>
      </w:r>
      <w:r>
        <w:rPr>
          <w:rStyle w:val="default"/>
          <w:rFonts w:cs="FrankRuehl" w:hint="cs"/>
          <w:rtl/>
        </w:rPr>
        <w:t xml:space="preserve"> לחברת נמל חיפה;</w:t>
      </w:r>
    </w:p>
    <w:p w14:paraId="4AD43A43" w14:textId="77777777" w:rsidR="007B0190" w:rsidRDefault="007B019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יתרת הכספים כאמור </w:t>
      </w:r>
      <w:r>
        <w:rPr>
          <w:rStyle w:val="default"/>
          <w:rFonts w:cs="FrankRuehl"/>
          <w:rtl/>
        </w:rPr>
        <w:t>–</w:t>
      </w:r>
      <w:r>
        <w:rPr>
          <w:rStyle w:val="default"/>
          <w:rFonts w:cs="FrankRuehl" w:hint="cs"/>
          <w:rtl/>
        </w:rPr>
        <w:t xml:space="preserve"> לחברת הפיתוח והנכסים.</w:t>
      </w:r>
    </w:p>
    <w:p w14:paraId="4ACC005E" w14:textId="77777777" w:rsidR="007B0190" w:rsidRDefault="007B0190">
      <w:pPr>
        <w:pStyle w:val="P00"/>
        <w:spacing w:before="72"/>
        <w:ind w:left="0" w:right="1134"/>
        <w:rPr>
          <w:rStyle w:val="default"/>
          <w:rFonts w:cs="FrankRuehl" w:hint="cs"/>
          <w:rtl/>
        </w:rPr>
      </w:pPr>
      <w:bookmarkStart w:id="6" w:name="Seif6"/>
      <w:bookmarkEnd w:id="6"/>
      <w:r>
        <w:rPr>
          <w:lang w:val="he-IL"/>
        </w:rPr>
        <w:pict w14:anchorId="299EBA45">
          <v:rect id="_x0000_s1127" style="position:absolute;left:0;text-align:left;margin-left:464.35pt;margin-top:7.1pt;width:75.05pt;height:10pt;z-index:251659264" o:allowincell="f" filled="f" stroked="f" strokecolor="lime" strokeweight=".25pt">
            <v:textbox inset="1mm,0,1mm,0">
              <w:txbxContent>
                <w:p w14:paraId="395008E9" w14:textId="77777777" w:rsidR="007B0190" w:rsidRDefault="007B0190">
                  <w:pPr>
                    <w:spacing w:line="160" w:lineRule="exact"/>
                    <w:jc w:val="left"/>
                    <w:rPr>
                      <w:rFonts w:cs="Miriam" w:hint="cs"/>
                      <w:noProof/>
                      <w:szCs w:val="18"/>
                      <w:rtl/>
                    </w:rPr>
                  </w:pPr>
                  <w:r>
                    <w:rPr>
                      <w:rFonts w:cs="Miriam" w:hint="cs"/>
                      <w:szCs w:val="18"/>
                      <w:rtl/>
                    </w:rPr>
                    <w:t>רישיונות והיתרים</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 xml:space="preserve">על רישיון או היתר שהיו של רשות הנמלים ערב יום התחילה, ואשר עברו לקניין המדינה </w:t>
      </w:r>
      <w:r>
        <w:rPr>
          <w:rStyle w:val="default"/>
          <w:rFonts w:cs="FrankRuehl" w:hint="cs"/>
          <w:rtl/>
        </w:rPr>
        <w:lastRenderedPageBreak/>
        <w:t xml:space="preserve">לפי סעיף 51(א) לחוק (בסעיף זה </w:t>
      </w:r>
      <w:r>
        <w:rPr>
          <w:rStyle w:val="default"/>
          <w:rFonts w:cs="FrankRuehl"/>
          <w:rtl/>
        </w:rPr>
        <w:t>–</w:t>
      </w:r>
      <w:r>
        <w:rPr>
          <w:rStyle w:val="default"/>
          <w:rFonts w:cs="FrankRuehl" w:hint="cs"/>
          <w:rtl/>
        </w:rPr>
        <w:t xml:space="preserve"> רישיון) יחולו הוראות כלהלן:</w:t>
      </w:r>
    </w:p>
    <w:p w14:paraId="0F3702CC" w14:textId="77777777" w:rsidR="007B0190" w:rsidRDefault="007B01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רישיון שניתן לגבי נכס </w:t>
      </w:r>
      <w:r>
        <w:rPr>
          <w:rStyle w:val="default"/>
          <w:rFonts w:cs="FrankRuehl"/>
          <w:rtl/>
        </w:rPr>
        <w:t>–</w:t>
      </w:r>
      <w:r>
        <w:rPr>
          <w:rStyle w:val="default"/>
          <w:rFonts w:cs="FrankRuehl" w:hint="cs"/>
          <w:rtl/>
        </w:rPr>
        <w:t xml:space="preserve"> מועבר בזה כלהלן:</w:t>
      </w:r>
    </w:p>
    <w:p w14:paraId="4C730E1F" w14:textId="77777777" w:rsidR="007B0190" w:rsidRDefault="007B019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הרישיונות שהוצאו לפי חוק התכנון והבניה, התשכ"ה-1965, האמורים בתוספת השניה </w:t>
      </w:r>
      <w:r>
        <w:rPr>
          <w:rStyle w:val="default"/>
          <w:rFonts w:cs="FrankRuehl"/>
          <w:rtl/>
        </w:rPr>
        <w:t>–</w:t>
      </w:r>
      <w:r>
        <w:rPr>
          <w:rStyle w:val="default"/>
          <w:rFonts w:cs="FrankRuehl" w:hint="cs"/>
          <w:rtl/>
        </w:rPr>
        <w:t xml:space="preserve"> לחברת הפיתוח והנכסים;</w:t>
      </w:r>
    </w:p>
    <w:p w14:paraId="74F19612" w14:textId="77777777" w:rsidR="007B0190" w:rsidRDefault="007B019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לענין מקרקעין מועברים שבהם הוסמכה חברת נמל לפעול ביום תחילת החוק לפי סעיף 10(א) לחוק, ולמעט הרישיונות האמורים בפסקת משנה (א) </w:t>
      </w:r>
      <w:r>
        <w:rPr>
          <w:rStyle w:val="default"/>
          <w:rFonts w:cs="FrankRuehl"/>
          <w:rtl/>
        </w:rPr>
        <w:t>–</w:t>
      </w:r>
      <w:r>
        <w:rPr>
          <w:rStyle w:val="default"/>
          <w:rFonts w:cs="FrankRuehl" w:hint="cs"/>
          <w:rtl/>
        </w:rPr>
        <w:t xml:space="preserve"> חברת נמל זו;</w:t>
      </w:r>
    </w:p>
    <w:p w14:paraId="7317366F" w14:textId="77777777" w:rsidR="007B0190" w:rsidRDefault="007B019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לענין מקרקעין מועברים אחרים </w:t>
      </w:r>
      <w:r>
        <w:rPr>
          <w:rStyle w:val="default"/>
          <w:rFonts w:cs="FrankRuehl"/>
          <w:rtl/>
        </w:rPr>
        <w:t>–</w:t>
      </w:r>
      <w:r>
        <w:rPr>
          <w:rStyle w:val="default"/>
          <w:rFonts w:cs="FrankRuehl" w:hint="cs"/>
          <w:rtl/>
        </w:rPr>
        <w:t xml:space="preserve"> חברת הפיתוח והנכסים;</w:t>
      </w:r>
    </w:p>
    <w:p w14:paraId="5C9030F1" w14:textId="77777777" w:rsidR="007B0190" w:rsidRDefault="007B019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לענין נכס שאינו מקרקעין, שהועבר לתאגיד נמלי לפי צו זה </w:t>
      </w:r>
      <w:r>
        <w:rPr>
          <w:rStyle w:val="default"/>
          <w:rFonts w:cs="FrankRuehl"/>
          <w:rtl/>
        </w:rPr>
        <w:t>–</w:t>
      </w:r>
      <w:r>
        <w:rPr>
          <w:rStyle w:val="default"/>
          <w:rFonts w:cs="FrankRuehl" w:hint="cs"/>
          <w:rtl/>
        </w:rPr>
        <w:t xml:space="preserve"> התאגיד הנמלי כאמור;</w:t>
      </w:r>
    </w:p>
    <w:p w14:paraId="22B267B1" w14:textId="77777777" w:rsidR="007B0190" w:rsidRDefault="007B0190">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לענין זכות, חוב או התחייבו שהועברה לתאגיד נמלי לפי סעיף 54 לחוק </w:t>
      </w:r>
      <w:r>
        <w:rPr>
          <w:rStyle w:val="default"/>
          <w:rFonts w:cs="FrankRuehl"/>
          <w:rtl/>
        </w:rPr>
        <w:t>–</w:t>
      </w:r>
      <w:r>
        <w:rPr>
          <w:rStyle w:val="default"/>
          <w:rFonts w:cs="FrankRuehl" w:hint="cs"/>
          <w:rtl/>
        </w:rPr>
        <w:t xml:space="preserve"> התאגיד הנמלי כאמור.</w:t>
      </w:r>
    </w:p>
    <w:p w14:paraId="3140B87C" w14:textId="77777777" w:rsidR="007B0190" w:rsidRDefault="007B01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רישיון שניתן לגבי עובד עובר כהגדרתו בסעיף 49(ב) לחוק </w:t>
      </w:r>
      <w:r>
        <w:rPr>
          <w:rStyle w:val="default"/>
          <w:rFonts w:cs="FrankRuehl"/>
          <w:rtl/>
        </w:rPr>
        <w:t>–</w:t>
      </w:r>
      <w:r>
        <w:rPr>
          <w:rStyle w:val="default"/>
          <w:rFonts w:cs="FrankRuehl" w:hint="cs"/>
          <w:rtl/>
        </w:rPr>
        <w:t xml:space="preserve"> מועבר בזה לתאגיד הנמלי שאליו עבר העובד העובר לפי סעיף 49(א) לחוק;</w:t>
      </w:r>
    </w:p>
    <w:p w14:paraId="1AF235F4" w14:textId="77777777" w:rsidR="007B0190" w:rsidRDefault="007B01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רישיון שניתן לצורך מתן שירות נמל או לצורך תפעול תקין של נמל, למעט רישיון כאמור בפסקאות (1) ו-(2) </w:t>
      </w:r>
      <w:r>
        <w:rPr>
          <w:rStyle w:val="default"/>
          <w:rFonts w:cs="FrankRuehl"/>
          <w:rtl/>
        </w:rPr>
        <w:t>–</w:t>
      </w:r>
      <w:r>
        <w:rPr>
          <w:rStyle w:val="default"/>
          <w:rFonts w:cs="FrankRuehl" w:hint="cs"/>
          <w:rtl/>
        </w:rPr>
        <w:t xml:space="preserve"> מועבר בזה לחברת הנמל שהוסמכה לתת את השירות או להפעיל את הנמל כאמור.</w:t>
      </w:r>
    </w:p>
    <w:p w14:paraId="590CA15D" w14:textId="77777777" w:rsidR="007B0190" w:rsidRDefault="007B0190">
      <w:pPr>
        <w:pStyle w:val="P00"/>
        <w:spacing w:before="72"/>
        <w:ind w:left="0" w:right="1134"/>
        <w:rPr>
          <w:rStyle w:val="default"/>
          <w:rFonts w:cs="FrankRuehl" w:hint="cs"/>
          <w:rtl/>
        </w:rPr>
      </w:pPr>
      <w:bookmarkStart w:id="7" w:name="Seif7"/>
      <w:bookmarkEnd w:id="7"/>
      <w:r>
        <w:rPr>
          <w:lang w:val="he-IL"/>
        </w:rPr>
        <w:pict w14:anchorId="495CB199">
          <v:rect id="_x0000_s1128" style="position:absolute;left:0;text-align:left;margin-left:464.35pt;margin-top:7.1pt;width:75.05pt;height:10pt;z-index:251660288" o:allowincell="f" filled="f" stroked="f" strokecolor="lime" strokeweight=".25pt">
            <v:textbox inset="1mm,0,1mm,0">
              <w:txbxContent>
                <w:p w14:paraId="3D74FF6F" w14:textId="77777777" w:rsidR="007B0190" w:rsidRDefault="007B0190">
                  <w:pPr>
                    <w:spacing w:line="160" w:lineRule="exact"/>
                    <w:jc w:val="left"/>
                    <w:rPr>
                      <w:rFonts w:cs="Miriam" w:hint="cs"/>
                      <w:noProof/>
                      <w:szCs w:val="18"/>
                      <w:rtl/>
                    </w:rPr>
                  </w:pPr>
                  <w:r>
                    <w:rPr>
                      <w:rFonts w:cs="Miriam" w:hint="cs"/>
                      <w:szCs w:val="18"/>
                      <w:rtl/>
                    </w:rPr>
                    <w:t>נכסים נוספים</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 xml:space="preserve">כל נכס, למעט מקרקעין וקניין רוחני ולמעט הנכסים המפורטים בתוספת הראשונה, שלא הועברו לתאגיד נמלי לפי סעיפים 2 עד 7 </w:t>
      </w:r>
      <w:r>
        <w:rPr>
          <w:rStyle w:val="default"/>
          <w:rFonts w:cs="FrankRuehl"/>
          <w:rtl/>
        </w:rPr>
        <w:t>–</w:t>
      </w:r>
      <w:r>
        <w:rPr>
          <w:rStyle w:val="default"/>
          <w:rFonts w:cs="FrankRuehl" w:hint="cs"/>
          <w:rtl/>
        </w:rPr>
        <w:t xml:space="preserve"> מועבר בזה לחברת הפיתוח והנכסים; אולם, ראו הממונה על התקציבים במשרד האוצר, המנהל הכללי במשרד התחבורה ומנהל רשות החברות הממשלתיות, כי זכות מסוימת שהועברה לפי סעיף זה מתאימה מבחינת מהותה להיות מועברת למדינה או לחברת נמל מסוימת כדי למנוע פגיעה בכושר הפירעון שלה, או כי זכות זו אינה תואמת את תפקידיה של חברת הפיתוח והנכסים לפי החוק ותנאי הסמכתה, רשאים הם להורות, כי הזכות האמורה תועבר מחברת הפיתוח והנכסים למדינה או לחברת נמל מסוימת, לפי הענין.</w:t>
      </w:r>
    </w:p>
    <w:p w14:paraId="549750D0" w14:textId="77777777" w:rsidR="007B0190" w:rsidRDefault="007B0190">
      <w:pPr>
        <w:pStyle w:val="P00"/>
        <w:spacing w:before="72"/>
        <w:ind w:left="0" w:right="1134"/>
        <w:rPr>
          <w:rStyle w:val="default"/>
          <w:rFonts w:cs="FrankRuehl" w:hint="cs"/>
          <w:rtl/>
        </w:rPr>
      </w:pPr>
      <w:bookmarkStart w:id="8" w:name="Seif8"/>
      <w:bookmarkEnd w:id="8"/>
      <w:r>
        <w:rPr>
          <w:lang w:val="he-IL"/>
        </w:rPr>
        <w:pict w14:anchorId="04160DD5">
          <v:rect id="_x0000_s1129" style="position:absolute;left:0;text-align:left;margin-left:464.35pt;margin-top:7.1pt;width:75.05pt;height:10pt;z-index:251661312" o:allowincell="f" filled="f" stroked="f" strokecolor="lime" strokeweight=".25pt">
            <v:textbox inset="1mm,0,1mm,0">
              <w:txbxContent>
                <w:p w14:paraId="0576EEF0" w14:textId="77777777" w:rsidR="007B0190" w:rsidRDefault="007B0190">
                  <w:pPr>
                    <w:spacing w:line="160" w:lineRule="exact"/>
                    <w:jc w:val="left"/>
                    <w:rPr>
                      <w:rFonts w:cs="Miriam" w:hint="cs"/>
                      <w:noProof/>
                      <w:szCs w:val="18"/>
                      <w:rtl/>
                    </w:rPr>
                  </w:pPr>
                  <w:r>
                    <w:rPr>
                      <w:rFonts w:cs="Miriam" w:hint="cs"/>
                      <w:szCs w:val="18"/>
                      <w:rtl/>
                    </w:rPr>
                    <w:t>תמורה</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התמורה בגין העברת הנכסים לפי צו זה, תיקבע בהסכם או בצו כאמור בסעיף 53(ב)(2) לחוק.</w:t>
      </w:r>
    </w:p>
    <w:p w14:paraId="4C042835" w14:textId="77777777" w:rsidR="007B0190" w:rsidRDefault="007B0190">
      <w:pPr>
        <w:pStyle w:val="P00"/>
        <w:spacing w:before="72"/>
        <w:ind w:left="0" w:right="1134"/>
        <w:rPr>
          <w:rStyle w:val="default"/>
          <w:rFonts w:cs="FrankRuehl" w:hint="cs"/>
          <w:rtl/>
        </w:rPr>
      </w:pPr>
      <w:bookmarkStart w:id="9" w:name="Seif9"/>
      <w:bookmarkEnd w:id="9"/>
      <w:r>
        <w:rPr>
          <w:lang w:val="he-IL"/>
        </w:rPr>
        <w:pict w14:anchorId="5D1D5049">
          <v:rect id="_x0000_s1130" style="position:absolute;left:0;text-align:left;margin-left:464.35pt;margin-top:7.1pt;width:75.05pt;height:10pt;z-index:251662336" o:allowincell="f" filled="f" stroked="f" strokecolor="lime" strokeweight=".25pt">
            <v:textbox inset="1mm,0,1mm,0">
              <w:txbxContent>
                <w:p w14:paraId="5DDAEBD6" w14:textId="77777777" w:rsidR="007B0190" w:rsidRDefault="007B019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תחילתו של צו זה ביום ח' באדר א' התשס"ה (17 בפברואר 2005).</w:t>
      </w:r>
    </w:p>
    <w:p w14:paraId="568761A1" w14:textId="77777777" w:rsidR="007B0190" w:rsidRDefault="007B0190">
      <w:pPr>
        <w:pStyle w:val="P00"/>
        <w:spacing w:before="72"/>
        <w:ind w:left="0" w:right="1134"/>
        <w:rPr>
          <w:rStyle w:val="default"/>
          <w:rFonts w:cs="FrankRuehl" w:hint="cs"/>
          <w:rtl/>
        </w:rPr>
      </w:pPr>
    </w:p>
    <w:p w14:paraId="22B9384E" w14:textId="77777777" w:rsidR="007B0190" w:rsidRDefault="007B0190">
      <w:pPr>
        <w:pStyle w:val="P00"/>
        <w:spacing w:before="72"/>
        <w:ind w:left="0" w:right="1134"/>
        <w:jc w:val="center"/>
        <w:rPr>
          <w:rStyle w:val="default"/>
          <w:rFonts w:cs="FrankRuehl" w:hint="cs"/>
          <w:b/>
          <w:bCs/>
          <w:rtl/>
        </w:rPr>
      </w:pPr>
      <w:r>
        <w:rPr>
          <w:rStyle w:val="default"/>
          <w:rFonts w:cs="FrankRuehl" w:hint="cs"/>
          <w:b/>
          <w:bCs/>
          <w:rtl/>
        </w:rPr>
        <w:t>תוספת ראשונה</w:t>
      </w:r>
    </w:p>
    <w:p w14:paraId="36B1C182" w14:textId="77777777" w:rsidR="007B0190" w:rsidRDefault="007B0190">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5 ו-8)</w:t>
      </w:r>
    </w:p>
    <w:p w14:paraId="5C596267" w14:textId="77777777" w:rsidR="007B0190" w:rsidRDefault="007B0190">
      <w:pPr>
        <w:pStyle w:val="P00"/>
        <w:spacing w:before="72"/>
        <w:ind w:left="0" w:right="1134"/>
        <w:rPr>
          <w:rStyle w:val="default"/>
          <w:rFonts w:cs="FrankRuehl" w:hint="cs"/>
          <w:rtl/>
        </w:rPr>
      </w:pPr>
      <w:r>
        <w:rPr>
          <w:rStyle w:val="default"/>
          <w:rFonts w:cs="FrankRuehl" w:hint="cs"/>
          <w:rtl/>
        </w:rPr>
        <w:t>נכס שהוא מניות של החברות האלה:</w:t>
      </w:r>
    </w:p>
    <w:p w14:paraId="6C2102E0" w14:textId="77777777" w:rsidR="007B0190" w:rsidRDefault="007B019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מקורות, חברת המים בע"מ;</w:t>
      </w:r>
    </w:p>
    <w:p w14:paraId="49783613" w14:textId="77777777" w:rsidR="007B0190" w:rsidRDefault="007B019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אל על נתיבי אויר לישראל בע"מ.</w:t>
      </w:r>
    </w:p>
    <w:p w14:paraId="23BF438E" w14:textId="77777777" w:rsidR="007B0190" w:rsidRDefault="007B0190">
      <w:pPr>
        <w:pStyle w:val="P00"/>
        <w:spacing w:before="72"/>
        <w:ind w:left="0" w:right="1134"/>
        <w:rPr>
          <w:rStyle w:val="default"/>
          <w:rFonts w:cs="FrankRuehl" w:hint="cs"/>
          <w:rtl/>
        </w:rPr>
      </w:pPr>
    </w:p>
    <w:p w14:paraId="7B8F7174" w14:textId="77777777" w:rsidR="007B0190" w:rsidRDefault="007B0190">
      <w:pPr>
        <w:pStyle w:val="P00"/>
        <w:spacing w:before="72"/>
        <w:ind w:left="0" w:right="1134"/>
        <w:jc w:val="center"/>
        <w:rPr>
          <w:rStyle w:val="default"/>
          <w:rFonts w:cs="FrankRuehl" w:hint="cs"/>
          <w:b/>
          <w:bCs/>
          <w:rtl/>
        </w:rPr>
      </w:pPr>
      <w:r>
        <w:rPr>
          <w:rStyle w:val="default"/>
          <w:rFonts w:cs="FrankRuehl" w:hint="cs"/>
          <w:b/>
          <w:bCs/>
          <w:rtl/>
        </w:rPr>
        <w:t>תוספת שניה</w:t>
      </w:r>
    </w:p>
    <w:p w14:paraId="49006B4C" w14:textId="77777777" w:rsidR="007B0190" w:rsidRDefault="007B0190">
      <w:pPr>
        <w:pStyle w:val="P00"/>
        <w:spacing w:before="72"/>
        <w:ind w:left="0" w:right="1134"/>
        <w:jc w:val="center"/>
        <w:rPr>
          <w:rStyle w:val="default"/>
          <w:rFonts w:cs="FrankRuehl" w:hint="cs"/>
          <w:sz w:val="24"/>
          <w:szCs w:val="24"/>
          <w:rtl/>
        </w:rPr>
      </w:pPr>
      <w:r>
        <w:rPr>
          <w:rStyle w:val="default"/>
          <w:rFonts w:cs="FrankRuehl" w:hint="cs"/>
          <w:sz w:val="24"/>
          <w:szCs w:val="24"/>
          <w:rtl/>
        </w:rPr>
        <w:t>(סעיף 7(1)(א))</w:t>
      </w:r>
    </w:p>
    <w:p w14:paraId="30211BB3" w14:textId="77777777" w:rsidR="007B0190" w:rsidRDefault="007B0190">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01307ABF" w14:textId="77777777" w:rsidR="007B0190" w:rsidRDefault="007B0190">
      <w:pPr>
        <w:pStyle w:val="P00"/>
        <w:spacing w:before="72"/>
        <w:ind w:left="0" w:right="1134"/>
        <w:rPr>
          <w:rStyle w:val="default"/>
          <w:rFonts w:cs="FrankRuehl" w:hint="cs"/>
          <w:rtl/>
        </w:rPr>
      </w:pPr>
    </w:p>
    <w:p w14:paraId="3BE1A743" w14:textId="77777777" w:rsidR="007B0190" w:rsidRDefault="007B0190">
      <w:pPr>
        <w:pStyle w:val="P00"/>
        <w:spacing w:before="72"/>
        <w:ind w:left="0" w:right="1134"/>
        <w:rPr>
          <w:rStyle w:val="default"/>
          <w:rFonts w:cs="FrankRuehl" w:hint="cs"/>
          <w:rtl/>
        </w:rPr>
      </w:pPr>
    </w:p>
    <w:p w14:paraId="5ADA7FD2" w14:textId="77777777" w:rsidR="007B0190" w:rsidRDefault="007B019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bookmarkStart w:id="10" w:name="LawPartEnd"/>
      <w:bookmarkEnd w:id="10"/>
      <w:r>
        <w:rPr>
          <w:rStyle w:val="default"/>
          <w:rFonts w:cs="FrankRuehl" w:hint="cs"/>
          <w:rtl/>
        </w:rPr>
        <w:t>ז' באדר א' התשס"ה (15 בפברואר 2005)</w:t>
      </w:r>
    </w:p>
    <w:p w14:paraId="0B666F5D" w14:textId="77777777" w:rsidR="007B0190" w:rsidRDefault="007B0190">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ab/>
        <w:t>בנימין נתניהו</w:t>
      </w:r>
      <w:r>
        <w:rPr>
          <w:rStyle w:val="default"/>
          <w:rFonts w:cs="FrankRuehl" w:hint="cs"/>
          <w:rtl/>
        </w:rPr>
        <w:tab/>
        <w:t>מאיר שטרית</w:t>
      </w:r>
    </w:p>
    <w:p w14:paraId="73CAEE9E" w14:textId="77777777" w:rsidR="007B0190" w:rsidRDefault="007B0190">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t>שר האוצר</w:t>
      </w:r>
      <w:r>
        <w:rPr>
          <w:rStyle w:val="default"/>
          <w:rFonts w:cs="FrankRuehl" w:hint="cs"/>
          <w:sz w:val="22"/>
          <w:szCs w:val="22"/>
          <w:rtl/>
        </w:rPr>
        <w:tab/>
        <w:t>שר התחבורה</w:t>
      </w:r>
    </w:p>
    <w:p w14:paraId="4B310734" w14:textId="77777777" w:rsidR="007B0190" w:rsidRDefault="007B0190">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p>
    <w:p w14:paraId="32EE2DA2" w14:textId="77777777" w:rsidR="007B0190" w:rsidRDefault="007B019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p>
    <w:sectPr w:rsidR="007B019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9925" w14:textId="77777777" w:rsidR="00AE2C9C" w:rsidRDefault="00AE2C9C">
      <w:r>
        <w:separator/>
      </w:r>
    </w:p>
  </w:endnote>
  <w:endnote w:type="continuationSeparator" w:id="0">
    <w:p w14:paraId="6058783B" w14:textId="77777777" w:rsidR="00AE2C9C" w:rsidRDefault="00AE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A663" w14:textId="77777777" w:rsidR="007B0190" w:rsidRDefault="007B019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350FA3" w14:textId="77777777" w:rsidR="007B0190" w:rsidRDefault="007B019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A5D1BC" w14:textId="77777777" w:rsidR="007B0190" w:rsidRDefault="007B019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8D31" w14:textId="77777777" w:rsidR="007B0190" w:rsidRDefault="007B019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5DC8">
      <w:rPr>
        <w:rFonts w:hAnsi="FrankRuehl" w:cs="FrankRuehl"/>
        <w:noProof/>
        <w:sz w:val="24"/>
        <w:szCs w:val="24"/>
        <w:rtl/>
      </w:rPr>
      <w:t>1</w:t>
    </w:r>
    <w:r>
      <w:rPr>
        <w:rFonts w:hAnsi="FrankRuehl" w:cs="FrankRuehl"/>
        <w:sz w:val="24"/>
        <w:szCs w:val="24"/>
        <w:rtl/>
      </w:rPr>
      <w:fldChar w:fldCharType="end"/>
    </w:r>
  </w:p>
  <w:p w14:paraId="17C837D7" w14:textId="77777777" w:rsidR="007B0190" w:rsidRDefault="007B019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12FEEE" w14:textId="77777777" w:rsidR="007B0190" w:rsidRDefault="007B019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EB4B" w14:textId="77777777" w:rsidR="00AE2C9C" w:rsidRDefault="00AE2C9C">
      <w:r>
        <w:separator/>
      </w:r>
    </w:p>
  </w:footnote>
  <w:footnote w:type="continuationSeparator" w:id="0">
    <w:p w14:paraId="74C86665" w14:textId="77777777" w:rsidR="00AE2C9C" w:rsidRDefault="00AE2C9C">
      <w:r>
        <w:continuationSeparator/>
      </w:r>
    </w:p>
  </w:footnote>
  <w:footnote w:id="1">
    <w:p w14:paraId="2663D648" w14:textId="77777777" w:rsidR="007B0190" w:rsidRDefault="007B01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תשס"ה מס' 6374</w:t>
        </w:r>
      </w:hyperlink>
      <w:r>
        <w:rPr>
          <w:rFonts w:hint="cs"/>
          <w:sz w:val="20"/>
          <w:rtl/>
        </w:rPr>
        <w:t xml:space="preserve"> מיום 27.2.2005 עמ' 533.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B0DF" w14:textId="77777777" w:rsidR="007B0190" w:rsidRDefault="007B019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6B521A19" w14:textId="77777777" w:rsidR="007B0190" w:rsidRDefault="007B01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C02F09" w14:textId="77777777" w:rsidR="007B0190" w:rsidRDefault="007B019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9B57" w14:textId="77777777" w:rsidR="007B0190" w:rsidRDefault="007B019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(העברת זכויות בנכסים שאינם מקרקעין)</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79EF3DD5" w14:textId="77777777" w:rsidR="007B0190" w:rsidRDefault="007B01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23FD6D" w14:textId="77777777" w:rsidR="007B0190" w:rsidRDefault="007B019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190"/>
    <w:rsid w:val="000B7B12"/>
    <w:rsid w:val="00545DC8"/>
    <w:rsid w:val="007B0190"/>
    <w:rsid w:val="00AE2C9C"/>
    <w:rsid w:val="00B736F0"/>
    <w:rsid w:val="00EA7B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1A2C3D"/>
  <w15:chartTrackingRefBased/>
  <w15:docId w15:val="{00AE5468-1593-4D96-9B22-A408EC0D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5055</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7864335</vt:i4>
      </vt:variant>
      <vt:variant>
        <vt:i4>0</vt:i4>
      </vt:variant>
      <vt:variant>
        <vt:i4>0</vt:i4>
      </vt:variant>
      <vt:variant>
        <vt:i4>5</vt:i4>
      </vt:variant>
      <vt:variant>
        <vt:lpwstr>http://www.nevo.co.il/Law_word/law06/tak-6374.pdf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(העברת זכויות בנכסים שאינם מקרקעין), תשס"ה-2005</vt:lpwstr>
  </property>
  <property fmtid="{D5CDD505-2E9C-101B-9397-08002B2CF9AE}" pid="5" name="LAWNUMBER">
    <vt:lpwstr>0406</vt:lpwstr>
  </property>
  <property fmtid="{D5CDD505-2E9C-101B-9397-08002B2CF9AE}" pid="6" name="TYPE">
    <vt:lpwstr>01</vt:lpwstr>
  </property>
  <property fmtid="{D5CDD505-2E9C-101B-9397-08002B2CF9AE}" pid="7" name="LINKK1">
    <vt:lpwstr>http://www.nevo.co.il/Law_word/law06/tak-6374.pdf;רשומות – תקנות כלליות#פורסם ק"ת תשס"ה מס' 6374#מיום 27.2.2005#עמ' 533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הספנות והנמלים</vt:lpwstr>
  </property>
  <property fmtid="{D5CDD505-2E9C-101B-9397-08002B2CF9AE}" pid="23" name="MEKOR_SAIF1">
    <vt:lpwstr>53XבX2X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רשות הספנות והנמלים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